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88" w:rsidRPr="00E927DE" w:rsidRDefault="00574488" w:rsidP="006F737E">
      <w:pPr>
        <w:rPr>
          <w:rFonts w:ascii="Times New Roman" w:hAnsi="Times New Roman" w:cs="Times New Roman"/>
          <w:b/>
          <w:sz w:val="24"/>
          <w:szCs w:val="24"/>
        </w:rPr>
      </w:pPr>
      <w:r w:rsidRPr="00E927DE">
        <w:rPr>
          <w:rFonts w:ascii="Times New Roman" w:hAnsi="Times New Roman" w:cs="Times New Roman"/>
          <w:b/>
          <w:sz w:val="24"/>
          <w:szCs w:val="24"/>
        </w:rPr>
        <w:t>Regional Symposium: Policies and Environment Conducive to Investment</w:t>
      </w:r>
    </w:p>
    <w:p w:rsidR="00574488" w:rsidRPr="00E927DE" w:rsidRDefault="00574488" w:rsidP="006F737E">
      <w:pPr>
        <w:rPr>
          <w:rFonts w:ascii="Times New Roman" w:hAnsi="Times New Roman" w:cs="Times New Roman"/>
          <w:b/>
          <w:sz w:val="24"/>
          <w:szCs w:val="24"/>
        </w:rPr>
      </w:pPr>
      <w:r w:rsidRPr="00E927DE">
        <w:rPr>
          <w:rFonts w:ascii="Times New Roman" w:hAnsi="Times New Roman" w:cs="Times New Roman"/>
          <w:b/>
          <w:sz w:val="24"/>
          <w:szCs w:val="24"/>
        </w:rPr>
        <w:t>The Australian APEC Study Centre/Melbourne APEC Finance Centre</w:t>
      </w:r>
    </w:p>
    <w:p w:rsidR="00574488" w:rsidRDefault="00574488" w:rsidP="006F737E">
      <w:pPr>
        <w:rPr>
          <w:rFonts w:ascii="Times New Roman" w:hAnsi="Times New Roman" w:cs="Times New Roman"/>
          <w:b/>
          <w:sz w:val="24"/>
          <w:szCs w:val="24"/>
        </w:rPr>
      </w:pPr>
      <w:r w:rsidRPr="00E927DE">
        <w:rPr>
          <w:rFonts w:ascii="Times New Roman" w:hAnsi="Times New Roman" w:cs="Times New Roman"/>
          <w:b/>
          <w:sz w:val="24"/>
          <w:szCs w:val="24"/>
        </w:rPr>
        <w:t>Melbourne, 5 &amp; 6 April 2011</w:t>
      </w:r>
    </w:p>
    <w:p w:rsidR="003177AA" w:rsidRPr="000B77E3" w:rsidRDefault="00E927DE" w:rsidP="00FB1691">
      <w:pPr>
        <w:rPr>
          <w:rFonts w:ascii="Times New Roman" w:hAnsi="Times New Roman" w:cs="Times New Roman"/>
          <w:b/>
          <w:sz w:val="24"/>
          <w:szCs w:val="24"/>
        </w:rPr>
      </w:pPr>
      <w:r>
        <w:rPr>
          <w:rFonts w:ascii="Times New Roman" w:hAnsi="Times New Roman" w:cs="Times New Roman"/>
          <w:b/>
          <w:sz w:val="24"/>
          <w:szCs w:val="24"/>
        </w:rPr>
        <w:t>Opening Address: Gary Judd QC</w:t>
      </w:r>
      <w:r w:rsidR="00776B30">
        <w:rPr>
          <w:rFonts w:ascii="Times New Roman" w:hAnsi="Times New Roman" w:cs="Times New Roman"/>
          <w:b/>
          <w:sz w:val="24"/>
          <w:szCs w:val="24"/>
        </w:rPr>
        <w:t>, Chairman, ASB Bank Ltd, CBA Group; ABAC member New Zealand and Co-Chair of the Advisory Group on APEC Financial System Capacity Building.</w:t>
      </w:r>
    </w:p>
    <w:p w:rsidR="00E22C55" w:rsidRPr="00E22C55" w:rsidRDefault="009B2FD9" w:rsidP="00E7777B">
      <w:pPr>
        <w:rPr>
          <w:rFonts w:ascii="Times New Roman" w:hAnsi="Times New Roman" w:cs="Times New Roman"/>
          <w:color w:val="000000"/>
          <w:sz w:val="24"/>
          <w:szCs w:val="24"/>
        </w:rPr>
      </w:pPr>
      <w:r>
        <w:rPr>
          <w:rFonts w:ascii="Times New Roman" w:hAnsi="Times New Roman" w:cs="Times New Roman"/>
          <w:sz w:val="24"/>
          <w:szCs w:val="24"/>
        </w:rPr>
        <w:t xml:space="preserve">In Bogor, Indonesia in 1994 the APEC Leaders </w:t>
      </w:r>
      <w:r w:rsidRPr="009B2FD9">
        <w:rPr>
          <w:rFonts w:ascii="Times New Roman" w:hAnsi="Times New Roman" w:cs="Times New Roman"/>
          <w:sz w:val="24"/>
          <w:szCs w:val="24"/>
        </w:rPr>
        <w:t>agree</w:t>
      </w:r>
      <w:r>
        <w:rPr>
          <w:rFonts w:ascii="Times New Roman" w:hAnsi="Times New Roman" w:cs="Times New Roman"/>
          <w:sz w:val="24"/>
          <w:szCs w:val="24"/>
        </w:rPr>
        <w:t>d</w:t>
      </w:r>
      <w:r w:rsidRPr="009B2FD9">
        <w:rPr>
          <w:rFonts w:ascii="Times New Roman" w:hAnsi="Times New Roman" w:cs="Times New Roman"/>
          <w:sz w:val="24"/>
          <w:szCs w:val="24"/>
        </w:rPr>
        <w:t xml:space="preserve"> to adopt the long-term goal of free and open trade and investment in the Asia-Pacific.</w:t>
      </w:r>
      <w:r>
        <w:rPr>
          <w:rFonts w:ascii="Times New Roman" w:hAnsi="Times New Roman" w:cs="Times New Roman"/>
          <w:sz w:val="24"/>
          <w:szCs w:val="24"/>
        </w:rPr>
        <w:t xml:space="preserve"> They declared that the </w:t>
      </w:r>
      <w:r w:rsidRPr="009B2FD9">
        <w:rPr>
          <w:rFonts w:ascii="Times New Roman" w:hAnsi="Times New Roman" w:cs="Times New Roman"/>
          <w:sz w:val="24"/>
          <w:szCs w:val="24"/>
        </w:rPr>
        <w:t>goal</w:t>
      </w:r>
      <w:r>
        <w:rPr>
          <w:rFonts w:ascii="Times New Roman" w:hAnsi="Times New Roman" w:cs="Times New Roman"/>
          <w:sz w:val="24"/>
          <w:szCs w:val="24"/>
        </w:rPr>
        <w:t xml:space="preserve"> would be pursued by </w:t>
      </w:r>
      <w:r w:rsidRPr="009B2FD9">
        <w:rPr>
          <w:rFonts w:ascii="Times New Roman" w:hAnsi="Times New Roman" w:cs="Times New Roman"/>
          <w:sz w:val="24"/>
          <w:szCs w:val="24"/>
        </w:rPr>
        <w:t>further reducing barriers to trade and investment and by promoting the free flow of goods, services and capital among</w:t>
      </w:r>
      <w:r>
        <w:rPr>
          <w:rFonts w:ascii="Times New Roman" w:hAnsi="Times New Roman" w:cs="Times New Roman"/>
          <w:sz w:val="24"/>
          <w:szCs w:val="24"/>
        </w:rPr>
        <w:t xml:space="preserve"> the APEC </w:t>
      </w:r>
      <w:r w:rsidR="00D82E86">
        <w:rPr>
          <w:rFonts w:ascii="Times New Roman" w:hAnsi="Times New Roman" w:cs="Times New Roman"/>
          <w:sz w:val="24"/>
          <w:szCs w:val="24"/>
        </w:rPr>
        <w:t xml:space="preserve">economies. </w:t>
      </w:r>
    </w:p>
    <w:p w:rsidR="00D82E86" w:rsidRDefault="0044547B" w:rsidP="006F737E">
      <w:pPr>
        <w:rPr>
          <w:rFonts w:ascii="Times New Roman" w:hAnsi="Times New Roman" w:cs="Times New Roman"/>
          <w:sz w:val="24"/>
          <w:szCs w:val="24"/>
        </w:rPr>
      </w:pPr>
      <w:r>
        <w:rPr>
          <w:rFonts w:ascii="Times New Roman" w:hAnsi="Times New Roman" w:cs="Times New Roman"/>
          <w:sz w:val="24"/>
          <w:szCs w:val="24"/>
        </w:rPr>
        <w:t xml:space="preserve">In the investment context, the </w:t>
      </w:r>
      <w:r w:rsidR="009B2FD9">
        <w:rPr>
          <w:rFonts w:ascii="Times New Roman" w:hAnsi="Times New Roman" w:cs="Times New Roman"/>
          <w:sz w:val="24"/>
          <w:szCs w:val="24"/>
        </w:rPr>
        <w:t xml:space="preserve">Leaders fleshed out that declaration by outlining </w:t>
      </w:r>
      <w:r w:rsidR="00E726F1">
        <w:rPr>
          <w:rFonts w:ascii="Times New Roman" w:hAnsi="Times New Roman" w:cs="Times New Roman"/>
          <w:sz w:val="24"/>
          <w:szCs w:val="24"/>
        </w:rPr>
        <w:t>non-b</w:t>
      </w:r>
      <w:r w:rsidR="000B77E3">
        <w:rPr>
          <w:rFonts w:ascii="Times New Roman" w:hAnsi="Times New Roman" w:cs="Times New Roman"/>
          <w:sz w:val="24"/>
          <w:szCs w:val="24"/>
        </w:rPr>
        <w:t>inding investment princip</w:t>
      </w:r>
      <w:r w:rsidR="009B2FD9">
        <w:rPr>
          <w:rFonts w:ascii="Times New Roman" w:hAnsi="Times New Roman" w:cs="Times New Roman"/>
          <w:sz w:val="24"/>
          <w:szCs w:val="24"/>
        </w:rPr>
        <w:t xml:space="preserve">les. </w:t>
      </w:r>
      <w:r>
        <w:rPr>
          <w:rFonts w:ascii="Times New Roman" w:hAnsi="Times New Roman" w:cs="Times New Roman"/>
          <w:sz w:val="24"/>
          <w:szCs w:val="24"/>
        </w:rPr>
        <w:t xml:space="preserve">The principles are standards against which the conduct of economies and investment participants may be measured. Principles of this sort may need to evolve to cater for changing circumstances. 16 years after the declaration of the investment principles when the </w:t>
      </w:r>
      <w:r w:rsidR="00CA6494">
        <w:rPr>
          <w:rFonts w:ascii="Times New Roman" w:hAnsi="Times New Roman" w:cs="Times New Roman"/>
          <w:sz w:val="24"/>
          <w:szCs w:val="24"/>
        </w:rPr>
        <w:t xml:space="preserve">16 years old </w:t>
      </w:r>
      <w:r>
        <w:rPr>
          <w:rFonts w:ascii="Times New Roman" w:hAnsi="Times New Roman" w:cs="Times New Roman"/>
          <w:sz w:val="24"/>
          <w:szCs w:val="24"/>
        </w:rPr>
        <w:t xml:space="preserve">Bogor Goals were </w:t>
      </w:r>
      <w:r w:rsidR="00CA6494">
        <w:rPr>
          <w:rFonts w:ascii="Times New Roman" w:hAnsi="Times New Roman" w:cs="Times New Roman"/>
          <w:sz w:val="24"/>
          <w:szCs w:val="24"/>
        </w:rPr>
        <w:t xml:space="preserve">themselves </w:t>
      </w:r>
      <w:r>
        <w:rPr>
          <w:rFonts w:ascii="Times New Roman" w:hAnsi="Times New Roman" w:cs="Times New Roman"/>
          <w:sz w:val="24"/>
          <w:szCs w:val="24"/>
        </w:rPr>
        <w:t>being reviewed, ABAC decided</w:t>
      </w:r>
      <w:r w:rsidR="00CA6494">
        <w:rPr>
          <w:rFonts w:ascii="Times New Roman" w:hAnsi="Times New Roman" w:cs="Times New Roman"/>
          <w:sz w:val="24"/>
          <w:szCs w:val="24"/>
        </w:rPr>
        <w:t xml:space="preserve"> to </w:t>
      </w:r>
      <w:r w:rsidR="00D82E86">
        <w:rPr>
          <w:rFonts w:ascii="Times New Roman" w:hAnsi="Times New Roman" w:cs="Times New Roman"/>
          <w:sz w:val="24"/>
          <w:szCs w:val="24"/>
        </w:rPr>
        <w:t xml:space="preserve">also </w:t>
      </w:r>
      <w:r w:rsidR="00CA6494">
        <w:rPr>
          <w:rFonts w:ascii="Times New Roman" w:hAnsi="Times New Roman" w:cs="Times New Roman"/>
          <w:sz w:val="24"/>
          <w:szCs w:val="24"/>
        </w:rPr>
        <w:t xml:space="preserve">look </w:t>
      </w:r>
      <w:r w:rsidR="00D82E86">
        <w:rPr>
          <w:rFonts w:ascii="Times New Roman" w:hAnsi="Times New Roman" w:cs="Times New Roman"/>
          <w:sz w:val="24"/>
          <w:szCs w:val="24"/>
        </w:rPr>
        <w:t>at the investment principles</w:t>
      </w:r>
      <w:r w:rsidR="00CA6494">
        <w:rPr>
          <w:rFonts w:ascii="Times New Roman" w:hAnsi="Times New Roman" w:cs="Times New Roman"/>
          <w:sz w:val="24"/>
          <w:szCs w:val="24"/>
        </w:rPr>
        <w:t xml:space="preserve"> </w:t>
      </w:r>
      <w:r>
        <w:rPr>
          <w:rFonts w:ascii="Times New Roman" w:hAnsi="Times New Roman" w:cs="Times New Roman"/>
          <w:sz w:val="24"/>
          <w:szCs w:val="24"/>
        </w:rPr>
        <w:t>through a 2010 lens. The result was revised principles which</w:t>
      </w:r>
      <w:r w:rsidR="00CA6494">
        <w:rPr>
          <w:rFonts w:ascii="Times New Roman" w:hAnsi="Times New Roman" w:cs="Times New Roman"/>
          <w:sz w:val="24"/>
          <w:szCs w:val="24"/>
        </w:rPr>
        <w:t xml:space="preserve"> ABAC has recommended </w:t>
      </w:r>
      <w:r w:rsidR="00856854">
        <w:rPr>
          <w:rFonts w:ascii="Times New Roman" w:hAnsi="Times New Roman" w:cs="Times New Roman"/>
          <w:sz w:val="24"/>
          <w:szCs w:val="24"/>
        </w:rPr>
        <w:t>to</w:t>
      </w:r>
      <w:r w:rsidR="00CA6494">
        <w:rPr>
          <w:rFonts w:ascii="Times New Roman" w:hAnsi="Times New Roman" w:cs="Times New Roman"/>
          <w:sz w:val="24"/>
          <w:szCs w:val="24"/>
        </w:rPr>
        <w:t xml:space="preserve"> APEC Leaders.</w:t>
      </w:r>
    </w:p>
    <w:p w:rsidR="00823588" w:rsidRDefault="00D82E86" w:rsidP="006F737E">
      <w:pPr>
        <w:rPr>
          <w:rFonts w:ascii="Times New Roman" w:hAnsi="Times New Roman" w:cs="Times New Roman"/>
          <w:sz w:val="24"/>
          <w:szCs w:val="24"/>
        </w:rPr>
      </w:pPr>
      <w:r>
        <w:rPr>
          <w:rFonts w:ascii="Times New Roman" w:hAnsi="Times New Roman" w:cs="Times New Roman"/>
          <w:sz w:val="24"/>
          <w:szCs w:val="24"/>
        </w:rPr>
        <w:t>The investment principles, both original and revised, have as their underlying objective the promotion of the free flow of capital between the economies of the region.</w:t>
      </w:r>
    </w:p>
    <w:p w:rsidR="00CC2990" w:rsidRDefault="00CC2990" w:rsidP="006F737E">
      <w:pPr>
        <w:rPr>
          <w:rFonts w:ascii="Times New Roman" w:hAnsi="Times New Roman" w:cs="Times New Roman"/>
          <w:sz w:val="24"/>
          <w:szCs w:val="24"/>
        </w:rPr>
      </w:pPr>
      <w:r>
        <w:rPr>
          <w:rFonts w:ascii="Times New Roman" w:hAnsi="Times New Roman" w:cs="Times New Roman"/>
          <w:sz w:val="24"/>
          <w:szCs w:val="24"/>
        </w:rPr>
        <w:t xml:space="preserve">Like the 1994 principles, </w:t>
      </w:r>
      <w:r w:rsidR="00986F93">
        <w:rPr>
          <w:rFonts w:ascii="Times New Roman" w:hAnsi="Times New Roman" w:cs="Times New Roman"/>
          <w:sz w:val="24"/>
          <w:szCs w:val="24"/>
        </w:rPr>
        <w:t xml:space="preserve">and the Leaders' declarations upon which they were based, </w:t>
      </w:r>
      <w:r>
        <w:rPr>
          <w:rFonts w:ascii="Times New Roman" w:hAnsi="Times New Roman" w:cs="Times New Roman"/>
          <w:sz w:val="24"/>
          <w:szCs w:val="24"/>
        </w:rPr>
        <w:t xml:space="preserve">the </w:t>
      </w:r>
      <w:r w:rsidR="00E726F1">
        <w:rPr>
          <w:rFonts w:ascii="Times New Roman" w:hAnsi="Times New Roman" w:cs="Times New Roman"/>
          <w:sz w:val="24"/>
          <w:szCs w:val="24"/>
        </w:rPr>
        <w:t>revised principles</w:t>
      </w:r>
      <w:r w:rsidR="00E726F1">
        <w:rPr>
          <w:rStyle w:val="FootnoteReference"/>
          <w:rFonts w:ascii="Times New Roman" w:hAnsi="Times New Roman" w:cs="Times New Roman"/>
          <w:sz w:val="24"/>
          <w:szCs w:val="24"/>
        </w:rPr>
        <w:footnoteReference w:id="1"/>
      </w:r>
      <w:r w:rsidR="00823588">
        <w:rPr>
          <w:rFonts w:ascii="Times New Roman" w:hAnsi="Times New Roman" w:cs="Times New Roman"/>
          <w:sz w:val="24"/>
          <w:szCs w:val="24"/>
        </w:rPr>
        <w:t xml:space="preserve"> recognise the importance of investment to economic development, the stimulation of growth, the creation of jobs and the flow of technology in the Asia-Pacific region</w:t>
      </w:r>
      <w:r w:rsidR="00CA6494" w:rsidRPr="00CA6494">
        <w:rPr>
          <w:rFonts w:ascii="Times New Roman" w:hAnsi="Times New Roman" w:cs="Times New Roman"/>
          <w:sz w:val="24"/>
          <w:szCs w:val="24"/>
        </w:rPr>
        <w:t xml:space="preserve"> </w:t>
      </w:r>
      <w:r w:rsidR="00CA6494">
        <w:rPr>
          <w:rFonts w:ascii="Times New Roman" w:hAnsi="Times New Roman" w:cs="Times New Roman"/>
          <w:sz w:val="24"/>
          <w:szCs w:val="24"/>
        </w:rPr>
        <w:t>and reflect that most APEC economies are both sources and recipients of foreign investment</w:t>
      </w:r>
      <w:r>
        <w:rPr>
          <w:rFonts w:ascii="Times New Roman" w:hAnsi="Times New Roman" w:cs="Times New Roman"/>
          <w:sz w:val="24"/>
          <w:szCs w:val="24"/>
        </w:rPr>
        <w:t xml:space="preserve">. </w:t>
      </w:r>
    </w:p>
    <w:p w:rsidR="0044547B" w:rsidRDefault="00CC2990" w:rsidP="006F737E">
      <w:pPr>
        <w:rPr>
          <w:rFonts w:ascii="Times New Roman" w:hAnsi="Times New Roman" w:cs="Times New Roman"/>
          <w:sz w:val="24"/>
          <w:szCs w:val="24"/>
        </w:rPr>
      </w:pPr>
      <w:r>
        <w:rPr>
          <w:rFonts w:ascii="Times New Roman" w:hAnsi="Times New Roman" w:cs="Times New Roman"/>
          <w:sz w:val="24"/>
          <w:szCs w:val="24"/>
        </w:rPr>
        <w:t xml:space="preserve">The objective of </w:t>
      </w:r>
      <w:r w:rsidRPr="00574488">
        <w:rPr>
          <w:rFonts w:ascii="Times New Roman" w:hAnsi="Times New Roman" w:cs="Times New Roman"/>
          <w:sz w:val="24"/>
          <w:szCs w:val="24"/>
        </w:rPr>
        <w:t>this</w:t>
      </w:r>
      <w:r>
        <w:rPr>
          <w:rFonts w:ascii="Times New Roman" w:hAnsi="Times New Roman" w:cs="Times New Roman"/>
          <w:sz w:val="24"/>
          <w:szCs w:val="24"/>
        </w:rPr>
        <w:t xml:space="preserve"> symposium is to build policy and implementation capacities to minimise investor risk in an uncertain global economic climate and to encourage and facilitate investment flows in the Asia-Pacific region. </w:t>
      </w:r>
    </w:p>
    <w:p w:rsidR="00CC2990" w:rsidRDefault="00CC2990" w:rsidP="006F737E">
      <w:pPr>
        <w:rPr>
          <w:rFonts w:ascii="Times New Roman" w:hAnsi="Times New Roman" w:cs="Times New Roman"/>
          <w:sz w:val="24"/>
          <w:szCs w:val="24"/>
        </w:rPr>
      </w:pPr>
      <w:r>
        <w:rPr>
          <w:rFonts w:ascii="Times New Roman" w:hAnsi="Times New Roman" w:cs="Times New Roman"/>
          <w:sz w:val="24"/>
          <w:szCs w:val="24"/>
        </w:rPr>
        <w:t>As the principles emphasise the importance of promoting domestic environments that are conducive to attracting foreign investment, they are directly relevant to this symposium's objective.</w:t>
      </w:r>
      <w:r w:rsidR="00CA6494">
        <w:rPr>
          <w:rFonts w:ascii="Times New Roman" w:hAnsi="Times New Roman" w:cs="Times New Roman"/>
          <w:sz w:val="24"/>
          <w:szCs w:val="24"/>
        </w:rPr>
        <w:t xml:space="preserve"> Policies and their implementation may be judged successful or not according to the extent they align with the principles</w:t>
      </w:r>
      <w:r w:rsidR="00986F93">
        <w:rPr>
          <w:rFonts w:ascii="Times New Roman" w:hAnsi="Times New Roman" w:cs="Times New Roman"/>
          <w:sz w:val="24"/>
          <w:szCs w:val="24"/>
        </w:rPr>
        <w:t xml:space="preserve"> so long as the principles themselves</w:t>
      </w:r>
      <w:r w:rsidR="00E22C55">
        <w:rPr>
          <w:rFonts w:ascii="Times New Roman" w:hAnsi="Times New Roman" w:cs="Times New Roman"/>
          <w:sz w:val="24"/>
          <w:szCs w:val="24"/>
        </w:rPr>
        <w:t xml:space="preserve"> are the right </w:t>
      </w:r>
      <w:r w:rsidR="00BC40BA">
        <w:rPr>
          <w:rFonts w:ascii="Times New Roman" w:hAnsi="Times New Roman" w:cs="Times New Roman"/>
          <w:sz w:val="24"/>
          <w:szCs w:val="24"/>
        </w:rPr>
        <w:t>principles and are sufficiently comprehensive.</w:t>
      </w:r>
    </w:p>
    <w:p w:rsidR="000B77E3" w:rsidRDefault="00CC2990" w:rsidP="006F737E">
      <w:pPr>
        <w:rPr>
          <w:rFonts w:ascii="Times New Roman" w:hAnsi="Times New Roman" w:cs="Times New Roman"/>
          <w:sz w:val="24"/>
          <w:szCs w:val="24"/>
        </w:rPr>
      </w:pPr>
      <w:r>
        <w:rPr>
          <w:rFonts w:ascii="Times New Roman" w:hAnsi="Times New Roman" w:cs="Times New Roman"/>
          <w:sz w:val="24"/>
          <w:szCs w:val="24"/>
        </w:rPr>
        <w:t>What do the principles</w:t>
      </w:r>
      <w:r w:rsidR="00986F93">
        <w:rPr>
          <w:rFonts w:ascii="Times New Roman" w:hAnsi="Times New Roman" w:cs="Times New Roman"/>
          <w:sz w:val="24"/>
          <w:szCs w:val="24"/>
        </w:rPr>
        <w:t xml:space="preserve"> cover? This is a broad summary. They p</w:t>
      </w:r>
      <w:r w:rsidR="00D4106E">
        <w:rPr>
          <w:rFonts w:ascii="Times New Roman" w:hAnsi="Times New Roman" w:cs="Times New Roman"/>
          <w:sz w:val="24"/>
          <w:szCs w:val="24"/>
        </w:rPr>
        <w:t xml:space="preserve">romote transparency in legislation and implementation of legislation. They promote non-discrimination regardless of </w:t>
      </w:r>
      <w:r w:rsidR="00D4106E">
        <w:rPr>
          <w:rFonts w:ascii="Times New Roman" w:hAnsi="Times New Roman" w:cs="Times New Roman"/>
          <w:sz w:val="24"/>
          <w:szCs w:val="24"/>
        </w:rPr>
        <w:lastRenderedPageBreak/>
        <w:t>the source of the investment including that foreign investors are treated no less favourably than domestic investors. They</w:t>
      </w:r>
      <w:r w:rsidR="000B77E3">
        <w:rPr>
          <w:rFonts w:ascii="Times New Roman" w:hAnsi="Times New Roman" w:cs="Times New Roman"/>
          <w:sz w:val="24"/>
          <w:szCs w:val="24"/>
        </w:rPr>
        <w:t xml:space="preserve"> ban </w:t>
      </w:r>
      <w:r w:rsidR="00D4106E">
        <w:rPr>
          <w:rFonts w:ascii="Times New Roman" w:hAnsi="Times New Roman" w:cs="Times New Roman"/>
          <w:sz w:val="24"/>
          <w:szCs w:val="24"/>
        </w:rPr>
        <w:t>investment incentives which distort fair competition</w:t>
      </w:r>
      <w:r w:rsidR="00986F93">
        <w:rPr>
          <w:rFonts w:ascii="Times New Roman" w:hAnsi="Times New Roman" w:cs="Times New Roman"/>
          <w:sz w:val="24"/>
          <w:szCs w:val="24"/>
        </w:rPr>
        <w:t xml:space="preserve">. They ban </w:t>
      </w:r>
      <w:r w:rsidR="00D4106E">
        <w:rPr>
          <w:rFonts w:ascii="Times New Roman" w:hAnsi="Times New Roman" w:cs="Times New Roman"/>
          <w:sz w:val="24"/>
          <w:szCs w:val="24"/>
        </w:rPr>
        <w:t>performance requirements that distort or limit expansion of trade and investment. They</w:t>
      </w:r>
      <w:r w:rsidR="000B77E3">
        <w:rPr>
          <w:rFonts w:ascii="Times New Roman" w:hAnsi="Times New Roman" w:cs="Times New Roman"/>
          <w:sz w:val="24"/>
          <w:szCs w:val="24"/>
        </w:rPr>
        <w:t xml:space="preserve"> ban </w:t>
      </w:r>
      <w:r w:rsidR="00D4106E">
        <w:rPr>
          <w:rFonts w:ascii="Times New Roman" w:hAnsi="Times New Roman" w:cs="Times New Roman"/>
          <w:sz w:val="24"/>
          <w:szCs w:val="24"/>
        </w:rPr>
        <w:t>expropriation of foreign investments or measures having similar effect. They require member economies to ensure free and prompt transfer of funds related to foreign investment.</w:t>
      </w:r>
      <w:r w:rsidR="0018295E">
        <w:rPr>
          <w:rFonts w:ascii="Times New Roman" w:hAnsi="Times New Roman" w:cs="Times New Roman"/>
          <w:sz w:val="24"/>
          <w:szCs w:val="24"/>
        </w:rPr>
        <w:t xml:space="preserve"> They record acceptance by member economies that disputes will be settled promptly by recognised dispute resolution mechanisms and that access to such mechanisms will be facilitated.</w:t>
      </w:r>
      <w:r w:rsidR="000B77E3">
        <w:rPr>
          <w:rFonts w:ascii="Times New Roman" w:hAnsi="Times New Roman" w:cs="Times New Roman"/>
          <w:sz w:val="24"/>
          <w:szCs w:val="24"/>
        </w:rPr>
        <w:t xml:space="preserve"> They require member </w:t>
      </w:r>
      <w:r w:rsidR="0018295E">
        <w:rPr>
          <w:rFonts w:ascii="Times New Roman" w:hAnsi="Times New Roman" w:cs="Times New Roman"/>
          <w:sz w:val="24"/>
          <w:szCs w:val="24"/>
        </w:rPr>
        <w:t>economies to promote the temporary entry of key personnel for activities connected with foreign investment</w:t>
      </w:r>
      <w:r w:rsidR="00986F93">
        <w:rPr>
          <w:rFonts w:ascii="Times New Roman" w:hAnsi="Times New Roman" w:cs="Times New Roman"/>
          <w:sz w:val="24"/>
          <w:szCs w:val="24"/>
        </w:rPr>
        <w:t>. They say member economies must endeavour to a</w:t>
      </w:r>
      <w:r w:rsidR="000B77E3">
        <w:rPr>
          <w:rFonts w:ascii="Times New Roman" w:hAnsi="Times New Roman" w:cs="Times New Roman"/>
          <w:sz w:val="24"/>
          <w:szCs w:val="24"/>
        </w:rPr>
        <w:t>void double taxation</w:t>
      </w:r>
      <w:r w:rsidR="00986F93">
        <w:rPr>
          <w:rFonts w:ascii="Times New Roman" w:hAnsi="Times New Roman" w:cs="Times New Roman"/>
          <w:sz w:val="24"/>
          <w:szCs w:val="24"/>
        </w:rPr>
        <w:t xml:space="preserve"> related to foreign investment</w:t>
      </w:r>
      <w:r w:rsidR="000B77E3">
        <w:rPr>
          <w:rFonts w:ascii="Times New Roman" w:hAnsi="Times New Roman" w:cs="Times New Roman"/>
          <w:sz w:val="24"/>
          <w:szCs w:val="24"/>
        </w:rPr>
        <w:t>.</w:t>
      </w:r>
      <w:r w:rsidR="00986F93">
        <w:rPr>
          <w:rFonts w:ascii="Times New Roman" w:hAnsi="Times New Roman" w:cs="Times New Roman"/>
          <w:sz w:val="24"/>
          <w:szCs w:val="24"/>
        </w:rPr>
        <w:t xml:space="preserve"> They say that r</w:t>
      </w:r>
      <w:r w:rsidR="0018295E">
        <w:rPr>
          <w:rFonts w:ascii="Times New Roman" w:hAnsi="Times New Roman" w:cs="Times New Roman"/>
          <w:sz w:val="24"/>
          <w:szCs w:val="24"/>
        </w:rPr>
        <w:t>egulatory and institutional barriers to the outflow of investment</w:t>
      </w:r>
      <w:r w:rsidR="00986F93">
        <w:rPr>
          <w:rFonts w:ascii="Times New Roman" w:hAnsi="Times New Roman" w:cs="Times New Roman"/>
          <w:sz w:val="24"/>
          <w:szCs w:val="24"/>
        </w:rPr>
        <w:t xml:space="preserve"> must </w:t>
      </w:r>
      <w:r w:rsidR="0018295E">
        <w:rPr>
          <w:rFonts w:ascii="Times New Roman" w:hAnsi="Times New Roman" w:cs="Times New Roman"/>
          <w:sz w:val="24"/>
          <w:szCs w:val="24"/>
        </w:rPr>
        <w:t xml:space="preserve">be minimised. </w:t>
      </w:r>
    </w:p>
    <w:p w:rsidR="00E726F1" w:rsidRDefault="0018295E" w:rsidP="006F737E">
      <w:pPr>
        <w:rPr>
          <w:rFonts w:ascii="Times New Roman" w:hAnsi="Times New Roman" w:cs="Times New Roman"/>
          <w:sz w:val="24"/>
          <w:szCs w:val="24"/>
        </w:rPr>
      </w:pPr>
      <w:r>
        <w:rPr>
          <w:rFonts w:ascii="Times New Roman" w:hAnsi="Times New Roman" w:cs="Times New Roman"/>
          <w:sz w:val="24"/>
          <w:szCs w:val="24"/>
        </w:rPr>
        <w:t>The principles also record that acceptance of foreign investment</w:t>
      </w:r>
      <w:r w:rsidR="000B77E3">
        <w:rPr>
          <w:rFonts w:ascii="Times New Roman" w:hAnsi="Times New Roman" w:cs="Times New Roman"/>
          <w:sz w:val="24"/>
          <w:szCs w:val="24"/>
        </w:rPr>
        <w:t xml:space="preserve"> is </w:t>
      </w:r>
      <w:r>
        <w:rPr>
          <w:rFonts w:ascii="Times New Roman" w:hAnsi="Times New Roman" w:cs="Times New Roman"/>
          <w:sz w:val="24"/>
          <w:szCs w:val="24"/>
        </w:rPr>
        <w:t>facilitated when foreign investors abide by the host economy's laws, regulations, administrative guidelines and policies, just as domestic investors should.</w:t>
      </w:r>
    </w:p>
    <w:p w:rsidR="00856854" w:rsidRDefault="00986F93" w:rsidP="006F737E">
      <w:pPr>
        <w:rPr>
          <w:rFonts w:ascii="Times New Roman" w:hAnsi="Times New Roman" w:cs="Times New Roman"/>
          <w:sz w:val="24"/>
          <w:szCs w:val="24"/>
        </w:rPr>
      </w:pPr>
      <w:r>
        <w:rPr>
          <w:rFonts w:ascii="Times New Roman" w:hAnsi="Times New Roman" w:cs="Times New Roman"/>
          <w:sz w:val="24"/>
          <w:szCs w:val="24"/>
        </w:rPr>
        <w:t xml:space="preserve">The principles are directed towards </w:t>
      </w:r>
      <w:r w:rsidR="00856854">
        <w:rPr>
          <w:rFonts w:ascii="Times New Roman" w:hAnsi="Times New Roman" w:cs="Times New Roman"/>
          <w:sz w:val="24"/>
          <w:szCs w:val="24"/>
        </w:rPr>
        <w:t>domestic reform to facilitate and encourage investment flows</w:t>
      </w:r>
      <w:r>
        <w:rPr>
          <w:rFonts w:ascii="Times New Roman" w:hAnsi="Times New Roman" w:cs="Times New Roman"/>
          <w:sz w:val="24"/>
          <w:szCs w:val="24"/>
        </w:rPr>
        <w:t xml:space="preserve">. </w:t>
      </w:r>
      <w:r w:rsidR="00856854">
        <w:rPr>
          <w:rFonts w:ascii="Times New Roman" w:hAnsi="Times New Roman" w:cs="Times New Roman"/>
          <w:sz w:val="24"/>
          <w:szCs w:val="24"/>
        </w:rPr>
        <w:t>It is helpful to consider what an economies' financial sector would look like if it were adapted to support those principles.</w:t>
      </w:r>
    </w:p>
    <w:p w:rsidR="00B87022" w:rsidRDefault="00AB34C0" w:rsidP="006F737E">
      <w:pPr>
        <w:rPr>
          <w:rFonts w:ascii="Times New Roman" w:hAnsi="Times New Roman" w:cs="Times New Roman"/>
          <w:sz w:val="24"/>
          <w:szCs w:val="24"/>
        </w:rPr>
      </w:pPr>
      <w:r>
        <w:rPr>
          <w:rFonts w:ascii="Times New Roman" w:hAnsi="Times New Roman" w:cs="Times New Roman"/>
          <w:sz w:val="24"/>
          <w:szCs w:val="24"/>
        </w:rPr>
        <w:t>Mark</w:t>
      </w:r>
      <w:r w:rsidR="00856854">
        <w:rPr>
          <w:rFonts w:ascii="Times New Roman" w:hAnsi="Times New Roman" w:cs="Times New Roman"/>
          <w:sz w:val="24"/>
          <w:szCs w:val="24"/>
        </w:rPr>
        <w:t xml:space="preserve"> Johnson</w:t>
      </w:r>
      <w:r>
        <w:rPr>
          <w:rFonts w:ascii="Times New Roman" w:hAnsi="Times New Roman" w:cs="Times New Roman"/>
          <w:sz w:val="24"/>
          <w:szCs w:val="24"/>
        </w:rPr>
        <w:t xml:space="preserve">, an Australian </w:t>
      </w:r>
      <w:r w:rsidR="00B87022">
        <w:rPr>
          <w:rFonts w:ascii="Times New Roman" w:hAnsi="Times New Roman" w:cs="Times New Roman"/>
          <w:sz w:val="24"/>
          <w:szCs w:val="24"/>
        </w:rPr>
        <w:t>ABAC</w:t>
      </w:r>
      <w:r>
        <w:rPr>
          <w:rFonts w:ascii="Times New Roman" w:hAnsi="Times New Roman" w:cs="Times New Roman"/>
          <w:sz w:val="24"/>
          <w:szCs w:val="24"/>
        </w:rPr>
        <w:t xml:space="preserve"> member</w:t>
      </w:r>
      <w:r w:rsidR="00856854">
        <w:rPr>
          <w:rFonts w:ascii="Times New Roman" w:hAnsi="Times New Roman" w:cs="Times New Roman"/>
          <w:sz w:val="24"/>
          <w:szCs w:val="24"/>
        </w:rPr>
        <w:t xml:space="preserve"> who is </w:t>
      </w:r>
      <w:r w:rsidR="00B87022">
        <w:rPr>
          <w:rFonts w:ascii="Times New Roman" w:hAnsi="Times New Roman" w:cs="Times New Roman"/>
          <w:sz w:val="24"/>
          <w:szCs w:val="24"/>
        </w:rPr>
        <w:t>Chairman of</w:t>
      </w:r>
      <w:r>
        <w:rPr>
          <w:rFonts w:ascii="Times New Roman" w:hAnsi="Times New Roman" w:cs="Times New Roman"/>
          <w:sz w:val="24"/>
          <w:szCs w:val="24"/>
        </w:rPr>
        <w:t xml:space="preserve"> ABAC's </w:t>
      </w:r>
      <w:r w:rsidR="00B87022">
        <w:rPr>
          <w:rFonts w:ascii="Times New Roman" w:hAnsi="Times New Roman" w:cs="Times New Roman"/>
          <w:sz w:val="24"/>
          <w:szCs w:val="24"/>
        </w:rPr>
        <w:t>Advisory Group on APEC Financial System Capacity Building</w:t>
      </w:r>
      <w:r w:rsidR="00856854">
        <w:rPr>
          <w:rFonts w:ascii="Times New Roman" w:hAnsi="Times New Roman" w:cs="Times New Roman"/>
          <w:sz w:val="24"/>
          <w:szCs w:val="24"/>
        </w:rPr>
        <w:t xml:space="preserve"> chaired the Australian Financial Centre Forum. It produced a report containing a vision.</w:t>
      </w:r>
    </w:p>
    <w:p w:rsidR="00B87022" w:rsidRPr="002C6E2A" w:rsidRDefault="00AB34C0" w:rsidP="006F737E">
      <w:pPr>
        <w:rPr>
          <w:rFonts w:ascii="Times New Roman" w:hAnsi="Times New Roman" w:cs="Times New Roman"/>
          <w:sz w:val="28"/>
          <w:szCs w:val="24"/>
        </w:rPr>
      </w:pPr>
      <w:r>
        <w:rPr>
          <w:rFonts w:ascii="Times New Roman" w:hAnsi="Times New Roman" w:cs="Times New Roman"/>
          <w:sz w:val="24"/>
          <w:szCs w:val="24"/>
        </w:rPr>
        <w:t>T</w:t>
      </w:r>
      <w:r w:rsidR="002C6E2A">
        <w:rPr>
          <w:rFonts w:ascii="Times New Roman" w:hAnsi="Times New Roman" w:cs="Times New Roman"/>
          <w:sz w:val="24"/>
          <w:szCs w:val="24"/>
        </w:rPr>
        <w:t>he Forum's vision is to have –</w:t>
      </w:r>
      <w:r w:rsidR="00574488">
        <w:rPr>
          <w:rFonts w:ascii="Times New Roman" w:hAnsi="Times New Roman" w:cs="Times New Roman"/>
          <w:sz w:val="24"/>
          <w:szCs w:val="24"/>
        </w:rPr>
        <w:t xml:space="preserve"> </w:t>
      </w:r>
    </w:p>
    <w:p w:rsidR="00B87022" w:rsidRDefault="00B87022" w:rsidP="00E927DE">
      <w:pPr>
        <w:ind w:left="720"/>
        <w:rPr>
          <w:rFonts w:ascii="Times New Roman" w:hAnsi="Times New Roman" w:cs="Times New Roman"/>
          <w:sz w:val="28"/>
          <w:szCs w:val="28"/>
        </w:rPr>
      </w:pPr>
      <w:proofErr w:type="gramStart"/>
      <w:r>
        <w:rPr>
          <w:rFonts w:ascii="Times New Roman" w:hAnsi="Times New Roman" w:cs="Times New Roman"/>
          <w:sz w:val="28"/>
          <w:szCs w:val="28"/>
        </w:rPr>
        <w:t>A financial sector which is open, competitive</w:t>
      </w:r>
      <w:r w:rsidR="002C6E2A">
        <w:rPr>
          <w:rFonts w:ascii="Times New Roman" w:hAnsi="Times New Roman" w:cs="Times New Roman"/>
          <w:sz w:val="28"/>
          <w:szCs w:val="28"/>
        </w:rPr>
        <w:t xml:space="preserve"> and underpinned by </w:t>
      </w:r>
      <w:r>
        <w:rPr>
          <w:rFonts w:ascii="Times New Roman" w:hAnsi="Times New Roman" w:cs="Times New Roman"/>
          <w:sz w:val="28"/>
          <w:szCs w:val="28"/>
        </w:rPr>
        <w:t>strong, stable and sound institutions.</w:t>
      </w:r>
      <w:proofErr w:type="gramEnd"/>
      <w:r>
        <w:rPr>
          <w:rFonts w:ascii="Times New Roman" w:hAnsi="Times New Roman" w:cs="Times New Roman"/>
          <w:sz w:val="28"/>
          <w:szCs w:val="28"/>
        </w:rPr>
        <w:t xml:space="preserve"> It exhibits the lowest possible barriers to entry consistent with the maintenance of financial stability and integrity, so as to encourage new entrants and foster price competition and innovation. It is a sector with a reputation for transparency, integrity and efficiency. It is a sector where the critical mass of skills, experience and reputation encourages both domestic and overseas participants to do business.</w:t>
      </w:r>
      <w:r w:rsidR="002C6E2A">
        <w:rPr>
          <w:rFonts w:ascii="Times New Roman" w:hAnsi="Times New Roman" w:cs="Times New Roman"/>
          <w:sz w:val="28"/>
          <w:szCs w:val="28"/>
        </w:rPr>
        <w:t xml:space="preserve"> It thus exhibits </w:t>
      </w:r>
      <w:r>
        <w:rPr>
          <w:rFonts w:ascii="Times New Roman" w:hAnsi="Times New Roman" w:cs="Times New Roman"/>
          <w:sz w:val="28"/>
          <w:szCs w:val="28"/>
        </w:rPr>
        <w:t>a high-volume of cross-border transactions in a wide variety of financial products, services and currencies.</w:t>
      </w:r>
    </w:p>
    <w:p w:rsidR="00264293" w:rsidRDefault="00E927DE" w:rsidP="00B87022">
      <w:pPr>
        <w:rPr>
          <w:rFonts w:ascii="Times New Roman" w:hAnsi="Times New Roman" w:cs="Times New Roman"/>
          <w:sz w:val="24"/>
          <w:szCs w:val="24"/>
        </w:rPr>
      </w:pPr>
      <w:r>
        <w:rPr>
          <w:rFonts w:ascii="Times New Roman" w:hAnsi="Times New Roman" w:cs="Times New Roman"/>
          <w:sz w:val="24"/>
          <w:szCs w:val="24"/>
        </w:rPr>
        <w:t>Were each of the economies within the APEC region to adopt policies and build capacities consis</w:t>
      </w:r>
      <w:r w:rsidR="00856854">
        <w:rPr>
          <w:rFonts w:ascii="Times New Roman" w:hAnsi="Times New Roman" w:cs="Times New Roman"/>
          <w:sz w:val="24"/>
          <w:szCs w:val="24"/>
        </w:rPr>
        <w:t>tent with the Forum's vision</w:t>
      </w:r>
      <w:r w:rsidR="00AB34C0">
        <w:rPr>
          <w:rFonts w:ascii="Times New Roman" w:hAnsi="Times New Roman" w:cs="Times New Roman"/>
          <w:sz w:val="24"/>
          <w:szCs w:val="24"/>
        </w:rPr>
        <w:t>,</w:t>
      </w:r>
      <w:r w:rsidR="004A6B36">
        <w:rPr>
          <w:rFonts w:ascii="Times New Roman" w:hAnsi="Times New Roman" w:cs="Times New Roman"/>
          <w:sz w:val="24"/>
          <w:szCs w:val="24"/>
        </w:rPr>
        <w:t xml:space="preserve"> they would have no difficulty complying </w:t>
      </w:r>
      <w:r w:rsidR="00AB34C0">
        <w:rPr>
          <w:rFonts w:ascii="Times New Roman" w:hAnsi="Times New Roman" w:cs="Times New Roman"/>
          <w:sz w:val="24"/>
          <w:szCs w:val="24"/>
        </w:rPr>
        <w:t xml:space="preserve">with the APEC </w:t>
      </w:r>
      <w:r w:rsidR="00856854">
        <w:rPr>
          <w:rFonts w:ascii="Times New Roman" w:hAnsi="Times New Roman" w:cs="Times New Roman"/>
          <w:sz w:val="24"/>
          <w:szCs w:val="24"/>
        </w:rPr>
        <w:t>Investment Principles</w:t>
      </w:r>
      <w:r w:rsidR="004A6B36">
        <w:rPr>
          <w:rFonts w:ascii="Times New Roman" w:hAnsi="Times New Roman" w:cs="Times New Roman"/>
          <w:sz w:val="24"/>
          <w:szCs w:val="24"/>
        </w:rPr>
        <w:t>. Moreover, those p</w:t>
      </w:r>
      <w:r>
        <w:rPr>
          <w:rFonts w:ascii="Times New Roman" w:hAnsi="Times New Roman" w:cs="Times New Roman"/>
          <w:sz w:val="24"/>
          <w:szCs w:val="24"/>
        </w:rPr>
        <w:t>olicies and capacities would</w:t>
      </w:r>
      <w:r w:rsidR="00AB34C0">
        <w:rPr>
          <w:rFonts w:ascii="Times New Roman" w:hAnsi="Times New Roman" w:cs="Times New Roman"/>
          <w:sz w:val="24"/>
          <w:szCs w:val="24"/>
        </w:rPr>
        <w:t xml:space="preserve"> tend to generate deep and liquid c</w:t>
      </w:r>
      <w:r w:rsidR="004A6B36">
        <w:rPr>
          <w:rFonts w:ascii="Times New Roman" w:hAnsi="Times New Roman" w:cs="Times New Roman"/>
          <w:sz w:val="24"/>
          <w:szCs w:val="24"/>
        </w:rPr>
        <w:t>apital markets</w:t>
      </w:r>
      <w:r w:rsidR="00AB34C0">
        <w:rPr>
          <w:rFonts w:ascii="Times New Roman" w:hAnsi="Times New Roman" w:cs="Times New Roman"/>
          <w:sz w:val="24"/>
          <w:szCs w:val="24"/>
        </w:rPr>
        <w:t>.</w:t>
      </w:r>
      <w:r w:rsidR="00727E07">
        <w:rPr>
          <w:rFonts w:ascii="Times New Roman" w:hAnsi="Times New Roman" w:cs="Times New Roman"/>
          <w:sz w:val="24"/>
          <w:szCs w:val="24"/>
        </w:rPr>
        <w:t xml:space="preserve"> The absence of such markets is an impediment to the facilitation and encouragement of investment flows. Investment flows are impeded both because without such markets access to capital is made more difficult</w:t>
      </w:r>
      <w:r w:rsidR="00305258">
        <w:rPr>
          <w:rFonts w:ascii="Times New Roman" w:hAnsi="Times New Roman" w:cs="Times New Roman"/>
          <w:sz w:val="24"/>
          <w:szCs w:val="24"/>
        </w:rPr>
        <w:t xml:space="preserve"> and also because without them it is more difficult to </w:t>
      </w:r>
      <w:proofErr w:type="gramStart"/>
      <w:r w:rsidR="00305258">
        <w:rPr>
          <w:rFonts w:ascii="Times New Roman" w:hAnsi="Times New Roman" w:cs="Times New Roman"/>
          <w:sz w:val="24"/>
          <w:szCs w:val="24"/>
        </w:rPr>
        <w:t>lay</w:t>
      </w:r>
      <w:proofErr w:type="gramEnd"/>
      <w:r w:rsidR="00305258">
        <w:rPr>
          <w:rFonts w:ascii="Times New Roman" w:hAnsi="Times New Roman" w:cs="Times New Roman"/>
          <w:sz w:val="24"/>
          <w:szCs w:val="24"/>
        </w:rPr>
        <w:t xml:space="preserve"> off risk.</w:t>
      </w:r>
    </w:p>
    <w:p w:rsidR="00E84DC9" w:rsidRDefault="004A6B36" w:rsidP="004758F5">
      <w:pPr>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key risk is currency risk. </w:t>
      </w:r>
      <w:r w:rsidR="00E84DC9">
        <w:rPr>
          <w:rFonts w:ascii="Times New Roman" w:hAnsi="Times New Roman" w:cs="Times New Roman"/>
          <w:sz w:val="24"/>
          <w:szCs w:val="24"/>
        </w:rPr>
        <w:t>Domestic policies of the sort encapsulated by the Forum's vision and envisaged by the APEC Investment Principles may result in the eventual generation of deep and liquid capital markets which have the ability to facilitate risk mitigation but they cannot remove the underlying risk itself which arises from economies having separate currencies which may strengthen or weaken in response to various causes.</w:t>
      </w:r>
    </w:p>
    <w:p w:rsidR="00E84DC9" w:rsidRDefault="00E84DC9" w:rsidP="004758F5">
      <w:pPr>
        <w:autoSpaceDE w:val="0"/>
        <w:autoSpaceDN w:val="0"/>
        <w:adjustRightInd w:val="0"/>
        <w:snapToGrid w:val="0"/>
        <w:spacing w:after="0" w:line="240" w:lineRule="auto"/>
        <w:rPr>
          <w:rFonts w:ascii="Times New Roman" w:hAnsi="Times New Roman" w:cs="Times New Roman"/>
          <w:sz w:val="24"/>
          <w:szCs w:val="24"/>
        </w:rPr>
      </w:pPr>
    </w:p>
    <w:p w:rsidR="004758F5" w:rsidRDefault="00E84DC9" w:rsidP="004758F5">
      <w:pPr>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The introduction to the s</w:t>
      </w:r>
      <w:r w:rsidR="004758F5">
        <w:rPr>
          <w:rFonts w:ascii="Times New Roman" w:hAnsi="Times New Roman" w:cs="Times New Roman"/>
          <w:sz w:val="24"/>
          <w:szCs w:val="24"/>
        </w:rPr>
        <w:t>ymposium's program referred to the recent report by the OECD and UNCTAD to the G 20. The complete passage from which the extract has been taken is this</w:t>
      </w:r>
    </w:p>
    <w:p w:rsidR="004758F5" w:rsidRDefault="004758F5" w:rsidP="004758F5">
      <w:pPr>
        <w:autoSpaceDE w:val="0"/>
        <w:autoSpaceDN w:val="0"/>
        <w:adjustRightInd w:val="0"/>
        <w:snapToGrid w:val="0"/>
        <w:spacing w:after="0" w:line="240" w:lineRule="auto"/>
        <w:rPr>
          <w:rFonts w:ascii="Times New Roman" w:hAnsi="Times New Roman" w:cs="Times New Roman"/>
          <w:sz w:val="24"/>
          <w:szCs w:val="24"/>
        </w:rPr>
      </w:pPr>
    </w:p>
    <w:p w:rsidR="00F82086" w:rsidRDefault="004758F5" w:rsidP="00AA745B">
      <w:pPr>
        <w:autoSpaceDE w:val="0"/>
        <w:autoSpaceDN w:val="0"/>
        <w:adjustRightInd w:val="0"/>
        <w:snapToGrid w:val="0"/>
        <w:spacing w:after="0" w:line="240" w:lineRule="auto"/>
        <w:ind w:left="720"/>
        <w:rPr>
          <w:rStyle w:val="apple-style-span"/>
          <w:rFonts w:ascii="Times New Roman" w:hAnsi="Times New Roman" w:cs="Times New Roman"/>
          <w:color w:val="000000"/>
          <w:sz w:val="28"/>
          <w:szCs w:val="28"/>
        </w:rPr>
      </w:pPr>
      <w:r w:rsidRPr="00C72173">
        <w:rPr>
          <w:rStyle w:val="apple-style-span"/>
          <w:rFonts w:ascii="Times New Roman" w:hAnsi="Times New Roman" w:cs="Times New Roman"/>
          <w:color w:val="000000"/>
          <w:sz w:val="28"/>
          <w:szCs w:val="28"/>
        </w:rPr>
        <w:t xml:space="preserve">Today's report </w:t>
      </w:r>
      <w:r>
        <w:rPr>
          <w:rStyle w:val="apple-style-span"/>
          <w:rFonts w:ascii="Times New Roman" w:hAnsi="Times New Roman" w:cs="Times New Roman"/>
          <w:color w:val="000000"/>
          <w:sz w:val="28"/>
          <w:szCs w:val="28"/>
        </w:rPr>
        <w:t xml:space="preserve">[a report dated 4 November 2010] </w:t>
      </w:r>
      <w:r w:rsidRPr="00C72173">
        <w:rPr>
          <w:rStyle w:val="apple-style-span"/>
          <w:rFonts w:ascii="Times New Roman" w:hAnsi="Times New Roman" w:cs="Times New Roman"/>
          <w:color w:val="000000"/>
          <w:sz w:val="28"/>
          <w:szCs w:val="28"/>
        </w:rPr>
        <w:t>comes at a time when</w:t>
      </w:r>
      <w:r w:rsidR="00AA745B">
        <w:rPr>
          <w:rStyle w:val="apple-style-span"/>
          <w:rFonts w:ascii="Times New Roman" w:hAnsi="Times New Roman" w:cs="Times New Roman"/>
          <w:color w:val="000000"/>
          <w:sz w:val="28"/>
          <w:szCs w:val="28"/>
        </w:rPr>
        <w:t xml:space="preserve"> foreign direct investment ... f</w:t>
      </w:r>
      <w:r w:rsidRPr="00C72173">
        <w:rPr>
          <w:rStyle w:val="apple-style-span"/>
          <w:rFonts w:ascii="Times New Roman" w:hAnsi="Times New Roman" w:cs="Times New Roman"/>
          <w:color w:val="000000"/>
          <w:sz w:val="28"/>
          <w:szCs w:val="28"/>
        </w:rPr>
        <w:t xml:space="preserve">lows to G 20 countries declined sharply </w:t>
      </w:r>
    </w:p>
    <w:p w:rsidR="004758F5" w:rsidRPr="00F82086" w:rsidRDefault="004758F5" w:rsidP="00AA745B">
      <w:pPr>
        <w:autoSpaceDE w:val="0"/>
        <w:autoSpaceDN w:val="0"/>
        <w:adjustRightInd w:val="0"/>
        <w:snapToGrid w:val="0"/>
        <w:spacing w:after="0" w:line="240" w:lineRule="auto"/>
        <w:ind w:left="720"/>
        <w:rPr>
          <w:rStyle w:val="apple-style-span"/>
          <w:rFonts w:ascii="Times New Roman" w:hAnsi="Times New Roman" w:cs="Times New Roman"/>
          <w:color w:val="000000"/>
          <w:sz w:val="28"/>
          <w:szCs w:val="28"/>
        </w:rPr>
      </w:pPr>
      <w:proofErr w:type="gramStart"/>
      <w:r w:rsidRPr="00F82086">
        <w:rPr>
          <w:rStyle w:val="apple-style-span"/>
          <w:rFonts w:ascii="Times New Roman" w:hAnsi="Times New Roman" w:cs="Times New Roman"/>
          <w:color w:val="000000"/>
          <w:sz w:val="28"/>
          <w:szCs w:val="28"/>
        </w:rPr>
        <w:t>by</w:t>
      </w:r>
      <w:proofErr w:type="gramEnd"/>
      <w:r w:rsidRPr="00F82086">
        <w:rPr>
          <w:rStyle w:val="apple-style-span"/>
          <w:rFonts w:ascii="Times New Roman" w:hAnsi="Times New Roman" w:cs="Times New Roman"/>
          <w:color w:val="000000"/>
          <w:sz w:val="28"/>
          <w:szCs w:val="28"/>
        </w:rPr>
        <w:t xml:space="preserve"> 36 % in the second quarter of 2010 (or by 14% when compared to the second quarter in 2009), and when new risk factors, such as competitive devaluations, are emerging. As a result, G20 and global FDI flows for 2010 as a whole could remain stagnant, rendering a new global FDI boom a distant prospect. This is a matter of serious concern, since public investment is running out of steam, while private investment in the form of FDI does not appear to be ready to step up to the plate to sustain global economic growth.</w:t>
      </w:r>
    </w:p>
    <w:p w:rsidR="004758F5" w:rsidRDefault="004758F5" w:rsidP="004758F5">
      <w:pPr>
        <w:autoSpaceDE w:val="0"/>
        <w:autoSpaceDN w:val="0"/>
        <w:adjustRightInd w:val="0"/>
        <w:snapToGrid w:val="0"/>
        <w:spacing w:after="0" w:line="240" w:lineRule="auto"/>
        <w:ind w:left="720"/>
        <w:rPr>
          <w:rStyle w:val="apple-style-span"/>
          <w:rFonts w:ascii="Times New Roman" w:hAnsi="Times New Roman" w:cs="Times New Roman"/>
          <w:color w:val="000000"/>
          <w:sz w:val="28"/>
          <w:szCs w:val="28"/>
        </w:rPr>
      </w:pPr>
    </w:p>
    <w:p w:rsidR="004758F5" w:rsidRDefault="00B27596" w:rsidP="004758F5">
      <w:pPr>
        <w:rPr>
          <w:rFonts w:ascii="Times New Roman" w:hAnsi="Times New Roman" w:cs="Times New Roman"/>
          <w:sz w:val="24"/>
          <w:szCs w:val="24"/>
        </w:rPr>
      </w:pPr>
      <w:r>
        <w:rPr>
          <w:rFonts w:ascii="Times New Roman" w:hAnsi="Times New Roman" w:cs="Times New Roman"/>
          <w:sz w:val="24"/>
          <w:szCs w:val="24"/>
        </w:rPr>
        <w:t>C</w:t>
      </w:r>
      <w:r w:rsidR="0061358E">
        <w:rPr>
          <w:rFonts w:ascii="Times New Roman" w:hAnsi="Times New Roman" w:cs="Times New Roman"/>
          <w:sz w:val="24"/>
          <w:szCs w:val="24"/>
        </w:rPr>
        <w:t xml:space="preserve">urrency </w:t>
      </w:r>
      <w:r w:rsidR="00145EB8">
        <w:rPr>
          <w:rFonts w:ascii="Times New Roman" w:hAnsi="Times New Roman" w:cs="Times New Roman"/>
          <w:sz w:val="24"/>
          <w:szCs w:val="24"/>
        </w:rPr>
        <w:t xml:space="preserve">instability </w:t>
      </w:r>
      <w:r w:rsidR="0061358E">
        <w:rPr>
          <w:rFonts w:ascii="Times New Roman" w:hAnsi="Times New Roman" w:cs="Times New Roman"/>
          <w:sz w:val="24"/>
          <w:szCs w:val="24"/>
        </w:rPr>
        <w:t xml:space="preserve">is </w:t>
      </w:r>
      <w:r w:rsidR="0086459E">
        <w:rPr>
          <w:rFonts w:ascii="Times New Roman" w:hAnsi="Times New Roman" w:cs="Times New Roman"/>
          <w:sz w:val="24"/>
          <w:szCs w:val="24"/>
        </w:rPr>
        <w:t>an</w:t>
      </w:r>
      <w:r w:rsidR="0061358E">
        <w:rPr>
          <w:rFonts w:ascii="Times New Roman" w:hAnsi="Times New Roman" w:cs="Times New Roman"/>
          <w:sz w:val="24"/>
          <w:szCs w:val="24"/>
        </w:rPr>
        <w:t xml:space="preserve"> impediment to </w:t>
      </w:r>
      <w:r w:rsidR="004758F5">
        <w:rPr>
          <w:rFonts w:ascii="Times New Roman" w:hAnsi="Times New Roman" w:cs="Times New Roman"/>
          <w:sz w:val="24"/>
          <w:szCs w:val="24"/>
        </w:rPr>
        <w:t>cross-border investment</w:t>
      </w:r>
      <w:r w:rsidR="0061358E">
        <w:rPr>
          <w:rFonts w:ascii="Times New Roman" w:hAnsi="Times New Roman" w:cs="Times New Roman"/>
          <w:sz w:val="24"/>
          <w:szCs w:val="24"/>
        </w:rPr>
        <w:t xml:space="preserve">s. </w:t>
      </w:r>
      <w:r w:rsidR="00145EB8">
        <w:rPr>
          <w:rFonts w:ascii="Times New Roman" w:hAnsi="Times New Roman" w:cs="Times New Roman"/>
          <w:sz w:val="24"/>
          <w:szCs w:val="24"/>
        </w:rPr>
        <w:t xml:space="preserve">It has been specifically identified as a major risk to be addressed in the context </w:t>
      </w:r>
      <w:r w:rsidR="004758F5">
        <w:rPr>
          <w:rFonts w:ascii="Times New Roman" w:hAnsi="Times New Roman" w:cs="Times New Roman"/>
          <w:sz w:val="24"/>
          <w:szCs w:val="24"/>
        </w:rPr>
        <w:t>of public-</w:t>
      </w:r>
      <w:r w:rsidR="00907B53">
        <w:rPr>
          <w:rFonts w:ascii="Times New Roman" w:hAnsi="Times New Roman" w:cs="Times New Roman"/>
          <w:sz w:val="24"/>
          <w:szCs w:val="24"/>
        </w:rPr>
        <w:t xml:space="preserve">private partnerships. </w:t>
      </w:r>
      <w:r w:rsidR="00A62BC3">
        <w:rPr>
          <w:rFonts w:ascii="Times New Roman" w:hAnsi="Times New Roman" w:cs="Times New Roman"/>
          <w:sz w:val="24"/>
          <w:szCs w:val="24"/>
        </w:rPr>
        <w:t>It also creates major risks not just for cross-border investments but in relation to investment generally. Decisions, e.g. to expand a factory or invest in developing an export market become that much harder when there is much uncertainty about what will happen with the exchange rate in the medium term. Unlike the trader, for whom short-term volatility is t</w:t>
      </w:r>
      <w:r w:rsidR="00AA745B">
        <w:rPr>
          <w:rFonts w:ascii="Times New Roman" w:hAnsi="Times New Roman" w:cs="Times New Roman"/>
          <w:sz w:val="24"/>
          <w:szCs w:val="24"/>
        </w:rPr>
        <w:t>he major problem because it inhi</w:t>
      </w:r>
      <w:r w:rsidR="00A62BC3">
        <w:rPr>
          <w:rFonts w:ascii="Times New Roman" w:hAnsi="Times New Roman" w:cs="Times New Roman"/>
          <w:sz w:val="24"/>
          <w:szCs w:val="24"/>
        </w:rPr>
        <w:t>bits making quick and accurate trade decisions, the investor can probably live with short-term volatility but instability over the longer term is a different matter</w:t>
      </w:r>
      <w:r w:rsidR="001A4CFC">
        <w:rPr>
          <w:rFonts w:ascii="Times New Roman" w:hAnsi="Times New Roman" w:cs="Times New Roman"/>
          <w:sz w:val="24"/>
          <w:szCs w:val="24"/>
        </w:rPr>
        <w:t>.</w:t>
      </w:r>
    </w:p>
    <w:p w:rsidR="00C72173" w:rsidRDefault="00145EB8" w:rsidP="00C72173">
      <w:pPr>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As well as</w:t>
      </w:r>
      <w:r w:rsidR="004758F5">
        <w:rPr>
          <w:rFonts w:ascii="Times New Roman" w:hAnsi="Times New Roman" w:cs="Times New Roman"/>
          <w:sz w:val="24"/>
          <w:szCs w:val="24"/>
        </w:rPr>
        <w:t xml:space="preserve"> giving rise to the need </w:t>
      </w:r>
      <w:r>
        <w:rPr>
          <w:rFonts w:ascii="Times New Roman" w:hAnsi="Times New Roman" w:cs="Times New Roman"/>
          <w:sz w:val="24"/>
          <w:szCs w:val="24"/>
        </w:rPr>
        <w:t xml:space="preserve">to </w:t>
      </w:r>
      <w:r w:rsidR="004758F5">
        <w:rPr>
          <w:rFonts w:ascii="Times New Roman" w:hAnsi="Times New Roman" w:cs="Times New Roman"/>
          <w:sz w:val="24"/>
          <w:szCs w:val="24"/>
        </w:rPr>
        <w:t xml:space="preserve">try to </w:t>
      </w:r>
      <w:r>
        <w:rPr>
          <w:rFonts w:ascii="Times New Roman" w:hAnsi="Times New Roman" w:cs="Times New Roman"/>
          <w:sz w:val="24"/>
          <w:szCs w:val="24"/>
        </w:rPr>
        <w:t>structure</w:t>
      </w:r>
      <w:r w:rsidR="004758F5">
        <w:rPr>
          <w:rFonts w:ascii="Times New Roman" w:hAnsi="Times New Roman" w:cs="Times New Roman"/>
          <w:sz w:val="24"/>
          <w:szCs w:val="24"/>
        </w:rPr>
        <w:t xml:space="preserve"> investments </w:t>
      </w:r>
      <w:r>
        <w:rPr>
          <w:rFonts w:ascii="Times New Roman" w:hAnsi="Times New Roman" w:cs="Times New Roman"/>
          <w:sz w:val="24"/>
          <w:szCs w:val="24"/>
        </w:rPr>
        <w:t>in a way which</w:t>
      </w:r>
      <w:r w:rsidR="004758F5">
        <w:rPr>
          <w:rFonts w:ascii="Times New Roman" w:hAnsi="Times New Roman" w:cs="Times New Roman"/>
          <w:sz w:val="24"/>
          <w:szCs w:val="24"/>
        </w:rPr>
        <w:t xml:space="preserve"> mitigates </w:t>
      </w:r>
      <w:r>
        <w:rPr>
          <w:rFonts w:ascii="Times New Roman" w:hAnsi="Times New Roman" w:cs="Times New Roman"/>
          <w:sz w:val="24"/>
          <w:szCs w:val="24"/>
        </w:rPr>
        <w:t>the risk of investment returns being undermined by currency movement</w:t>
      </w:r>
      <w:r w:rsidR="004758F5">
        <w:rPr>
          <w:rFonts w:ascii="Times New Roman" w:hAnsi="Times New Roman" w:cs="Times New Roman"/>
          <w:sz w:val="24"/>
          <w:szCs w:val="24"/>
        </w:rPr>
        <w:t>s</w:t>
      </w:r>
      <w:r>
        <w:rPr>
          <w:rFonts w:ascii="Times New Roman" w:hAnsi="Times New Roman" w:cs="Times New Roman"/>
          <w:sz w:val="24"/>
          <w:szCs w:val="24"/>
        </w:rPr>
        <w:t xml:space="preserve">, </w:t>
      </w:r>
      <w:r w:rsidR="00126E42">
        <w:rPr>
          <w:rFonts w:ascii="Times New Roman" w:hAnsi="Times New Roman" w:cs="Times New Roman"/>
          <w:sz w:val="24"/>
          <w:szCs w:val="24"/>
        </w:rPr>
        <w:t>volatility and instability induce</w:t>
      </w:r>
      <w:r>
        <w:rPr>
          <w:rFonts w:ascii="Times New Roman" w:hAnsi="Times New Roman" w:cs="Times New Roman"/>
          <w:sz w:val="24"/>
          <w:szCs w:val="24"/>
        </w:rPr>
        <w:t xml:space="preserve"> undesirable behaviour. For example, u</w:t>
      </w:r>
      <w:r w:rsidR="003B4536">
        <w:rPr>
          <w:rFonts w:ascii="Times New Roman" w:hAnsi="Times New Roman" w:cs="Times New Roman"/>
          <w:sz w:val="24"/>
          <w:szCs w:val="24"/>
        </w:rPr>
        <w:t xml:space="preserve">npredictable </w:t>
      </w:r>
      <w:r w:rsidR="007466E3">
        <w:rPr>
          <w:rFonts w:ascii="Times New Roman" w:hAnsi="Times New Roman" w:cs="Times New Roman"/>
          <w:sz w:val="24"/>
          <w:szCs w:val="24"/>
        </w:rPr>
        <w:t>capital</w:t>
      </w:r>
      <w:r w:rsidR="00B27596">
        <w:rPr>
          <w:rFonts w:ascii="Times New Roman" w:hAnsi="Times New Roman" w:cs="Times New Roman"/>
          <w:sz w:val="24"/>
          <w:szCs w:val="24"/>
        </w:rPr>
        <w:t xml:space="preserve"> flows </w:t>
      </w:r>
      <w:r w:rsidR="0061358E">
        <w:rPr>
          <w:rFonts w:ascii="Times New Roman" w:hAnsi="Times New Roman" w:cs="Times New Roman"/>
          <w:sz w:val="24"/>
          <w:szCs w:val="24"/>
        </w:rPr>
        <w:t xml:space="preserve">cause some countries to </w:t>
      </w:r>
      <w:r w:rsidR="003B4536">
        <w:rPr>
          <w:rFonts w:ascii="Times New Roman" w:hAnsi="Times New Roman" w:cs="Times New Roman"/>
          <w:sz w:val="24"/>
          <w:szCs w:val="24"/>
        </w:rPr>
        <w:t xml:space="preserve">maintain capital </w:t>
      </w:r>
      <w:r w:rsidR="00126E42">
        <w:rPr>
          <w:rFonts w:ascii="Times New Roman" w:hAnsi="Times New Roman" w:cs="Times New Roman"/>
          <w:sz w:val="24"/>
          <w:szCs w:val="24"/>
        </w:rPr>
        <w:t>controls</w:t>
      </w:r>
      <w:r w:rsidR="0061358E">
        <w:rPr>
          <w:rFonts w:ascii="Times New Roman" w:hAnsi="Times New Roman" w:cs="Times New Roman"/>
          <w:sz w:val="24"/>
          <w:szCs w:val="24"/>
        </w:rPr>
        <w:t xml:space="preserve">. Whilst perhaps being intended to deal more particularly with short-term capital flows, such controls are </w:t>
      </w:r>
      <w:r w:rsidR="003B4536">
        <w:rPr>
          <w:rFonts w:ascii="Times New Roman" w:hAnsi="Times New Roman" w:cs="Times New Roman"/>
          <w:sz w:val="24"/>
          <w:szCs w:val="24"/>
        </w:rPr>
        <w:t>also barriers to investment</w:t>
      </w:r>
      <w:r w:rsidR="00F82086">
        <w:rPr>
          <w:rFonts w:ascii="Times New Roman" w:hAnsi="Times New Roman" w:cs="Times New Roman"/>
          <w:sz w:val="24"/>
          <w:szCs w:val="24"/>
        </w:rPr>
        <w:t>.  C</w:t>
      </w:r>
      <w:r w:rsidR="0061358E">
        <w:rPr>
          <w:rFonts w:ascii="Times New Roman" w:hAnsi="Times New Roman" w:cs="Times New Roman"/>
          <w:sz w:val="24"/>
          <w:szCs w:val="24"/>
        </w:rPr>
        <w:t xml:space="preserve">onsequentially they are </w:t>
      </w:r>
      <w:r w:rsidR="00F82086">
        <w:rPr>
          <w:rFonts w:ascii="Times New Roman" w:hAnsi="Times New Roman" w:cs="Times New Roman"/>
          <w:sz w:val="24"/>
          <w:szCs w:val="24"/>
        </w:rPr>
        <w:t xml:space="preserve">also </w:t>
      </w:r>
      <w:r w:rsidR="003B4536">
        <w:rPr>
          <w:rFonts w:ascii="Times New Roman" w:hAnsi="Times New Roman" w:cs="Times New Roman"/>
          <w:sz w:val="24"/>
          <w:szCs w:val="24"/>
        </w:rPr>
        <w:t>barriers to regional economic integration which</w:t>
      </w:r>
      <w:r w:rsidR="0061358E">
        <w:rPr>
          <w:rFonts w:ascii="Times New Roman" w:hAnsi="Times New Roman" w:cs="Times New Roman"/>
          <w:sz w:val="24"/>
          <w:szCs w:val="24"/>
        </w:rPr>
        <w:t xml:space="preserve"> is an</w:t>
      </w:r>
      <w:r>
        <w:rPr>
          <w:rFonts w:ascii="Times New Roman" w:hAnsi="Times New Roman" w:cs="Times New Roman"/>
          <w:sz w:val="24"/>
          <w:szCs w:val="24"/>
        </w:rPr>
        <w:t xml:space="preserve"> APEC objective. </w:t>
      </w:r>
    </w:p>
    <w:p w:rsidR="00C72173" w:rsidRDefault="00C72173" w:rsidP="00C72173">
      <w:pPr>
        <w:autoSpaceDE w:val="0"/>
        <w:autoSpaceDN w:val="0"/>
        <w:adjustRightInd w:val="0"/>
        <w:snapToGrid w:val="0"/>
        <w:spacing w:after="0" w:line="240" w:lineRule="auto"/>
        <w:rPr>
          <w:rFonts w:ascii="Times New Roman" w:hAnsi="Times New Roman" w:cs="Times New Roman"/>
          <w:sz w:val="24"/>
          <w:szCs w:val="24"/>
        </w:rPr>
      </w:pPr>
    </w:p>
    <w:p w:rsidR="00AF668D" w:rsidRDefault="00AF668D" w:rsidP="00AF668D">
      <w:pPr>
        <w:rPr>
          <w:rFonts w:ascii="Times New Roman" w:hAnsi="Times New Roman" w:cs="Times New Roman"/>
          <w:sz w:val="24"/>
          <w:szCs w:val="24"/>
        </w:rPr>
      </w:pPr>
      <w:r>
        <w:rPr>
          <w:rFonts w:ascii="Times New Roman" w:hAnsi="Times New Roman" w:cs="Times New Roman"/>
          <w:sz w:val="24"/>
          <w:szCs w:val="24"/>
        </w:rPr>
        <w:t xml:space="preserve">OECD and UNCTAD put forward competitive devaluations as a new risk factor. Competitive devaluations may </w:t>
      </w:r>
      <w:r w:rsidR="00907B53">
        <w:rPr>
          <w:rFonts w:ascii="Times New Roman" w:hAnsi="Times New Roman" w:cs="Times New Roman"/>
          <w:sz w:val="24"/>
          <w:szCs w:val="24"/>
        </w:rPr>
        <w:t xml:space="preserve">perhaps </w:t>
      </w:r>
      <w:r>
        <w:rPr>
          <w:rFonts w:ascii="Times New Roman" w:hAnsi="Times New Roman" w:cs="Times New Roman"/>
          <w:sz w:val="24"/>
          <w:szCs w:val="24"/>
        </w:rPr>
        <w:t xml:space="preserve">be a </w:t>
      </w:r>
      <w:r w:rsidRPr="00C72173">
        <w:rPr>
          <w:rFonts w:ascii="Times New Roman" w:hAnsi="Times New Roman" w:cs="Times New Roman"/>
          <w:i/>
          <w:sz w:val="24"/>
          <w:szCs w:val="24"/>
        </w:rPr>
        <w:t>new</w:t>
      </w:r>
      <w:r>
        <w:rPr>
          <w:rFonts w:ascii="Times New Roman" w:hAnsi="Times New Roman" w:cs="Times New Roman"/>
          <w:sz w:val="24"/>
          <w:szCs w:val="24"/>
        </w:rPr>
        <w:t xml:space="preserve"> risk factor but they are simply one example of multiple causes of currency instability.</w:t>
      </w:r>
    </w:p>
    <w:p w:rsidR="00FE144C" w:rsidRDefault="00C72173" w:rsidP="00FE144C">
      <w:pPr>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Capital </w:t>
      </w:r>
      <w:r w:rsidR="00A81A6E">
        <w:rPr>
          <w:rFonts w:ascii="Times New Roman" w:hAnsi="Times New Roman" w:cs="Times New Roman"/>
          <w:sz w:val="24"/>
          <w:szCs w:val="24"/>
        </w:rPr>
        <w:t xml:space="preserve">flows may </w:t>
      </w:r>
      <w:r w:rsidR="00AF668D">
        <w:rPr>
          <w:rFonts w:ascii="Times New Roman" w:hAnsi="Times New Roman" w:cs="Times New Roman"/>
          <w:sz w:val="24"/>
          <w:szCs w:val="24"/>
        </w:rPr>
        <w:t xml:space="preserve">themselves </w:t>
      </w:r>
      <w:r w:rsidR="00A81A6E">
        <w:rPr>
          <w:rFonts w:ascii="Times New Roman" w:hAnsi="Times New Roman" w:cs="Times New Roman"/>
          <w:sz w:val="24"/>
          <w:szCs w:val="24"/>
        </w:rPr>
        <w:t xml:space="preserve">be the cause </w:t>
      </w:r>
      <w:r w:rsidR="00126E42">
        <w:rPr>
          <w:rFonts w:ascii="Times New Roman" w:hAnsi="Times New Roman" w:cs="Times New Roman"/>
          <w:sz w:val="24"/>
          <w:szCs w:val="24"/>
        </w:rPr>
        <w:t xml:space="preserve">of currency volatility and instability </w:t>
      </w:r>
      <w:r w:rsidR="00A81A6E">
        <w:rPr>
          <w:rFonts w:ascii="Times New Roman" w:hAnsi="Times New Roman" w:cs="Times New Roman"/>
          <w:sz w:val="24"/>
          <w:szCs w:val="24"/>
        </w:rPr>
        <w:t xml:space="preserve">in some cases </w:t>
      </w:r>
      <w:r w:rsidR="001A4CFC">
        <w:rPr>
          <w:rFonts w:ascii="Times New Roman" w:hAnsi="Times New Roman" w:cs="Times New Roman"/>
          <w:sz w:val="24"/>
          <w:szCs w:val="24"/>
        </w:rPr>
        <w:t xml:space="preserve">– </w:t>
      </w:r>
      <w:r w:rsidR="00A81A6E">
        <w:rPr>
          <w:rFonts w:ascii="Times New Roman" w:hAnsi="Times New Roman" w:cs="Times New Roman"/>
          <w:sz w:val="24"/>
          <w:szCs w:val="24"/>
        </w:rPr>
        <w:t>an</w:t>
      </w:r>
      <w:r w:rsidR="00126E42">
        <w:rPr>
          <w:rFonts w:ascii="Times New Roman" w:hAnsi="Times New Roman" w:cs="Times New Roman"/>
          <w:sz w:val="24"/>
          <w:szCs w:val="24"/>
        </w:rPr>
        <w:t>d part of the cause in others</w:t>
      </w:r>
      <w:r w:rsidR="00A81A6E">
        <w:rPr>
          <w:rFonts w:ascii="Times New Roman" w:hAnsi="Times New Roman" w:cs="Times New Roman"/>
          <w:sz w:val="24"/>
          <w:szCs w:val="24"/>
        </w:rPr>
        <w:t xml:space="preserve">. </w:t>
      </w:r>
      <w:r w:rsidR="00AF668D">
        <w:rPr>
          <w:rFonts w:ascii="Times New Roman" w:hAnsi="Times New Roman" w:cs="Times New Roman"/>
          <w:sz w:val="24"/>
          <w:szCs w:val="24"/>
        </w:rPr>
        <w:t xml:space="preserve">Interest rates which influence the carry trade, and the carry trade's influence on the market, are important factors. </w:t>
      </w:r>
      <w:r w:rsidR="00A81A6E">
        <w:rPr>
          <w:rFonts w:ascii="Times New Roman" w:hAnsi="Times New Roman" w:cs="Times New Roman"/>
          <w:sz w:val="24"/>
          <w:szCs w:val="24"/>
        </w:rPr>
        <w:t>Longer term movements in ex</w:t>
      </w:r>
      <w:r w:rsidR="00AF668D">
        <w:rPr>
          <w:rFonts w:ascii="Times New Roman" w:hAnsi="Times New Roman" w:cs="Times New Roman"/>
          <w:sz w:val="24"/>
          <w:szCs w:val="24"/>
        </w:rPr>
        <w:t xml:space="preserve">change rates are more likely to </w:t>
      </w:r>
      <w:r w:rsidR="00A81A6E">
        <w:rPr>
          <w:rFonts w:ascii="Times New Roman" w:hAnsi="Times New Roman" w:cs="Times New Roman"/>
          <w:sz w:val="24"/>
          <w:szCs w:val="24"/>
        </w:rPr>
        <w:t>be caused by</w:t>
      </w:r>
      <w:r w:rsidR="00E53A01">
        <w:rPr>
          <w:rFonts w:ascii="Times New Roman" w:hAnsi="Times New Roman" w:cs="Times New Roman"/>
          <w:sz w:val="24"/>
          <w:szCs w:val="24"/>
        </w:rPr>
        <w:t xml:space="preserve"> the strength or weakness of particular economies and by monetary measures undertaken to deal with domestic conditions. If monetary conditions are </w:t>
      </w:r>
      <w:r w:rsidR="00E53A01">
        <w:rPr>
          <w:rFonts w:ascii="Times New Roman" w:hAnsi="Times New Roman" w:cs="Times New Roman"/>
          <w:sz w:val="24"/>
          <w:szCs w:val="24"/>
        </w:rPr>
        <w:lastRenderedPageBreak/>
        <w:t xml:space="preserve">loose </w:t>
      </w:r>
      <w:r w:rsidR="00907B53">
        <w:rPr>
          <w:rFonts w:ascii="Times New Roman" w:hAnsi="Times New Roman" w:cs="Times New Roman"/>
          <w:sz w:val="24"/>
          <w:szCs w:val="24"/>
        </w:rPr>
        <w:t xml:space="preserve">there will be a tendency for </w:t>
      </w:r>
      <w:r w:rsidR="00E53A01">
        <w:rPr>
          <w:rFonts w:ascii="Times New Roman" w:hAnsi="Times New Roman" w:cs="Times New Roman"/>
          <w:sz w:val="24"/>
          <w:szCs w:val="24"/>
        </w:rPr>
        <w:t>structura</w:t>
      </w:r>
      <w:r w:rsidR="00126E42">
        <w:rPr>
          <w:rFonts w:ascii="Times New Roman" w:hAnsi="Times New Roman" w:cs="Times New Roman"/>
          <w:sz w:val="24"/>
          <w:szCs w:val="24"/>
        </w:rPr>
        <w:t xml:space="preserve">l depreciation </w:t>
      </w:r>
      <w:r w:rsidR="00AF668D">
        <w:rPr>
          <w:rFonts w:ascii="Times New Roman" w:hAnsi="Times New Roman" w:cs="Times New Roman"/>
          <w:sz w:val="24"/>
          <w:szCs w:val="24"/>
        </w:rPr>
        <w:t>arising from the increase in</w:t>
      </w:r>
      <w:r w:rsidR="00E9243C">
        <w:rPr>
          <w:rFonts w:ascii="Times New Roman" w:hAnsi="Times New Roman" w:cs="Times New Roman"/>
          <w:sz w:val="24"/>
          <w:szCs w:val="24"/>
        </w:rPr>
        <w:t xml:space="preserve"> the supply of that currency.</w:t>
      </w:r>
    </w:p>
    <w:p w:rsidR="00AF668D" w:rsidRDefault="00AF668D" w:rsidP="00FE144C">
      <w:pPr>
        <w:autoSpaceDE w:val="0"/>
        <w:autoSpaceDN w:val="0"/>
        <w:adjustRightInd w:val="0"/>
        <w:snapToGrid w:val="0"/>
        <w:spacing w:after="0" w:line="240" w:lineRule="auto"/>
        <w:rPr>
          <w:rFonts w:ascii="Times New Roman" w:hAnsi="Times New Roman" w:cs="Times New Roman"/>
          <w:sz w:val="24"/>
          <w:szCs w:val="24"/>
        </w:rPr>
      </w:pPr>
    </w:p>
    <w:p w:rsidR="00FE144C" w:rsidRDefault="00FE144C" w:rsidP="00907B53">
      <w:pPr>
        <w:autoSpaceDE w:val="0"/>
        <w:autoSpaceDN w:val="0"/>
        <w:adjustRightInd w:val="0"/>
        <w:spacing w:after="0" w:line="240" w:lineRule="auto"/>
        <w:rPr>
          <w:rFonts w:ascii="Times New Roman" w:hAnsi="Times New Roman" w:cs="Times New Roman"/>
          <w:sz w:val="24"/>
          <w:szCs w:val="24"/>
        </w:rPr>
      </w:pPr>
      <w:r w:rsidRPr="00FE144C">
        <w:rPr>
          <w:rFonts w:ascii="Times New Roman" w:hAnsi="Times New Roman" w:cs="Times New Roman"/>
          <w:sz w:val="24"/>
          <w:szCs w:val="24"/>
        </w:rPr>
        <w:t>There are some who see currency volatility and currency instability</w:t>
      </w:r>
      <w:r>
        <w:rPr>
          <w:rFonts w:ascii="Times New Roman" w:hAnsi="Times New Roman" w:cs="Times New Roman"/>
          <w:sz w:val="24"/>
          <w:szCs w:val="24"/>
        </w:rPr>
        <w:t xml:space="preserve"> as </w:t>
      </w:r>
      <w:r w:rsidRPr="00FE144C">
        <w:rPr>
          <w:rFonts w:ascii="Times New Roman" w:hAnsi="Times New Roman" w:cs="Times New Roman"/>
          <w:sz w:val="24"/>
          <w:szCs w:val="24"/>
        </w:rPr>
        <w:t>part of a wider problem.</w:t>
      </w:r>
      <w:r w:rsidR="00907B53">
        <w:rPr>
          <w:rFonts w:ascii="Times New Roman" w:hAnsi="Times New Roman" w:cs="Times New Roman"/>
          <w:sz w:val="24"/>
          <w:szCs w:val="24"/>
        </w:rPr>
        <w:t xml:space="preserve"> For example, </w:t>
      </w:r>
      <w:r>
        <w:rPr>
          <w:rFonts w:ascii="Times New Roman" w:hAnsi="Times New Roman" w:cs="Times New Roman"/>
          <w:sz w:val="24"/>
          <w:szCs w:val="24"/>
        </w:rPr>
        <w:t xml:space="preserve">the late </w:t>
      </w:r>
      <w:proofErr w:type="spellStart"/>
      <w:r w:rsidRPr="00FE144C">
        <w:rPr>
          <w:rFonts w:ascii="Times New Roman" w:hAnsi="Times New Roman" w:cs="Times New Roman"/>
          <w:sz w:val="24"/>
          <w:szCs w:val="24"/>
        </w:rPr>
        <w:t>Tommaso</w:t>
      </w:r>
      <w:proofErr w:type="spellEnd"/>
      <w:r w:rsidRPr="00FE144C">
        <w:rPr>
          <w:rFonts w:ascii="Times New Roman" w:hAnsi="Times New Roman" w:cs="Times New Roman"/>
          <w:sz w:val="24"/>
          <w:szCs w:val="24"/>
        </w:rPr>
        <w:t xml:space="preserve"> </w:t>
      </w:r>
      <w:proofErr w:type="spellStart"/>
      <w:r w:rsidRPr="00FE144C">
        <w:rPr>
          <w:rFonts w:ascii="Times New Roman" w:hAnsi="Times New Roman" w:cs="Times New Roman"/>
          <w:sz w:val="24"/>
          <w:szCs w:val="24"/>
        </w:rPr>
        <w:t>Padoa-Schioppa</w:t>
      </w:r>
      <w:proofErr w:type="spellEnd"/>
      <w:r w:rsidRPr="00FE144C">
        <w:rPr>
          <w:rFonts w:ascii="Times New Roman" w:hAnsi="Times New Roman" w:cs="Times New Roman"/>
          <w:sz w:val="24"/>
          <w:szCs w:val="24"/>
        </w:rPr>
        <w:t>, President of Notre Europe and a former Minister of Economy and Finance in the Italian government</w:t>
      </w:r>
      <w:r w:rsidR="00907B53">
        <w:rPr>
          <w:rFonts w:ascii="Times New Roman" w:hAnsi="Times New Roman" w:cs="Times New Roman"/>
          <w:sz w:val="24"/>
          <w:szCs w:val="24"/>
        </w:rPr>
        <w:t xml:space="preserve"> regarded what he called "unsustainable monetary disorder" as lying at the bottom of the global financial crisis. The multilateral trade and payments system needs, he said, to be defended "against the constant and lethal dangers to which unsustainable monetary disorder exposes it". </w:t>
      </w:r>
    </w:p>
    <w:p w:rsidR="00907B53" w:rsidRDefault="00907B53" w:rsidP="00907B53">
      <w:pPr>
        <w:autoSpaceDE w:val="0"/>
        <w:autoSpaceDN w:val="0"/>
        <w:adjustRightInd w:val="0"/>
        <w:spacing w:after="0" w:line="240" w:lineRule="auto"/>
        <w:rPr>
          <w:rFonts w:ascii="Times New Roman" w:hAnsi="Times New Roman" w:cs="Times New Roman"/>
          <w:sz w:val="28"/>
          <w:szCs w:val="28"/>
        </w:rPr>
      </w:pPr>
    </w:p>
    <w:p w:rsidR="00FE144C" w:rsidRPr="00FE144C" w:rsidRDefault="00907B53" w:rsidP="00636C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 </w:t>
      </w:r>
      <w:r w:rsidR="00636C89" w:rsidRPr="00636C89">
        <w:rPr>
          <w:rFonts w:ascii="Times New Roman" w:hAnsi="Times New Roman" w:cs="Times New Roman"/>
          <w:sz w:val="24"/>
          <w:szCs w:val="24"/>
        </w:rPr>
        <w:t>2009 Report of the Commission of Experts of the President of the United Nations General Assembly on Reforms of the International Monetary and Financial System</w:t>
      </w:r>
      <w:r w:rsidR="00636C89">
        <w:rPr>
          <w:rFonts w:ascii="Times New Roman" w:hAnsi="Times New Roman" w:cs="Times New Roman"/>
          <w:sz w:val="24"/>
          <w:szCs w:val="24"/>
        </w:rPr>
        <w:t xml:space="preserve"> reached a similar conclusion. The </w:t>
      </w:r>
      <w:r w:rsidR="00346672">
        <w:rPr>
          <w:rFonts w:ascii="Times New Roman" w:hAnsi="Times New Roman" w:cs="Times New Roman"/>
          <w:sz w:val="24"/>
          <w:szCs w:val="24"/>
        </w:rPr>
        <w:t>Commission</w:t>
      </w:r>
      <w:r>
        <w:rPr>
          <w:rFonts w:ascii="Times New Roman" w:hAnsi="Times New Roman" w:cs="Times New Roman"/>
          <w:sz w:val="24"/>
          <w:szCs w:val="24"/>
        </w:rPr>
        <w:t xml:space="preserve">, </w:t>
      </w:r>
      <w:r w:rsidR="00636C89" w:rsidRPr="00636C89">
        <w:rPr>
          <w:rFonts w:ascii="Times New Roman" w:hAnsi="Times New Roman" w:cs="Times New Roman"/>
          <w:sz w:val="24"/>
          <w:szCs w:val="24"/>
        </w:rPr>
        <w:t xml:space="preserve">chaired by </w:t>
      </w:r>
      <w:r w:rsidR="00D9526B">
        <w:rPr>
          <w:rFonts w:ascii="Times New Roman" w:hAnsi="Times New Roman" w:cs="Times New Roman"/>
          <w:sz w:val="24"/>
          <w:szCs w:val="24"/>
        </w:rPr>
        <w:t xml:space="preserve">Joseph </w:t>
      </w:r>
      <w:proofErr w:type="spellStart"/>
      <w:r w:rsidR="00D9526B" w:rsidRPr="00636C89">
        <w:rPr>
          <w:rFonts w:ascii="Times New Roman" w:hAnsi="Times New Roman" w:cs="Times New Roman"/>
          <w:sz w:val="24"/>
          <w:szCs w:val="24"/>
        </w:rPr>
        <w:t>Stiglitz</w:t>
      </w:r>
      <w:proofErr w:type="spellEnd"/>
      <w:r w:rsidR="00D9526B">
        <w:rPr>
          <w:rFonts w:ascii="Times New Roman" w:hAnsi="Times New Roman" w:cs="Times New Roman"/>
          <w:sz w:val="24"/>
          <w:szCs w:val="24"/>
        </w:rPr>
        <w:t xml:space="preserve">  -- </w:t>
      </w:r>
      <w:r w:rsidR="00636C89" w:rsidRPr="00636C89">
        <w:rPr>
          <w:rFonts w:ascii="Times New Roman" w:hAnsi="Times New Roman" w:cs="Times New Roman"/>
          <w:sz w:val="24"/>
          <w:szCs w:val="24"/>
        </w:rPr>
        <w:t>2002 Nobel Prize in Economics winner and member then Chairman of the Clinton Administration Council of Economic Advisers 1993–1997</w:t>
      </w:r>
      <w:r w:rsidR="00D9526B">
        <w:rPr>
          <w:rFonts w:ascii="Times New Roman" w:hAnsi="Times New Roman" w:cs="Times New Roman"/>
          <w:sz w:val="24"/>
          <w:szCs w:val="24"/>
        </w:rPr>
        <w:t xml:space="preserve"> -- </w:t>
      </w:r>
      <w:r>
        <w:rPr>
          <w:rFonts w:ascii="Times New Roman" w:hAnsi="Times New Roman" w:cs="Times New Roman"/>
          <w:sz w:val="24"/>
          <w:szCs w:val="24"/>
        </w:rPr>
        <w:t>was in no doubt that the international trade and financial system needed to be profoundly reformed to meet the needs and changed conditions of the early 21st century.</w:t>
      </w:r>
    </w:p>
    <w:p w:rsidR="00E9243C" w:rsidRDefault="00346672" w:rsidP="00FE144C">
      <w:pPr>
        <w:autoSpaceDE w:val="0"/>
        <w:autoSpaceDN w:val="0"/>
        <w:adjustRightInd w:val="0"/>
        <w:snapToGrid w:val="0"/>
        <w:spacing w:after="0" w:line="240" w:lineRule="auto"/>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The </w:t>
      </w:r>
      <w:proofErr w:type="spellStart"/>
      <w:r>
        <w:rPr>
          <w:rStyle w:val="apple-style-span"/>
          <w:rFonts w:ascii="Times New Roman" w:hAnsi="Times New Roman" w:cs="Times New Roman"/>
          <w:sz w:val="24"/>
          <w:szCs w:val="24"/>
        </w:rPr>
        <w:t>Stiglitz</w:t>
      </w:r>
      <w:proofErr w:type="spellEnd"/>
      <w:r>
        <w:rPr>
          <w:rStyle w:val="apple-style-span"/>
          <w:rFonts w:ascii="Times New Roman" w:hAnsi="Times New Roman" w:cs="Times New Roman"/>
          <w:sz w:val="24"/>
          <w:szCs w:val="24"/>
        </w:rPr>
        <w:t xml:space="preserve"> Commission was of the opinion that</w:t>
      </w:r>
      <w:r w:rsidR="00EF29D9">
        <w:rPr>
          <w:rStyle w:val="apple-style-span"/>
          <w:rFonts w:ascii="Times New Roman" w:hAnsi="Times New Roman" w:cs="Times New Roman"/>
          <w:sz w:val="24"/>
          <w:szCs w:val="24"/>
        </w:rPr>
        <w:t xml:space="preserve"> there need</w:t>
      </w:r>
      <w:r w:rsidR="00B649D2">
        <w:rPr>
          <w:rStyle w:val="apple-style-span"/>
          <w:rFonts w:ascii="Times New Roman" w:hAnsi="Times New Roman" w:cs="Times New Roman"/>
          <w:sz w:val="24"/>
          <w:szCs w:val="24"/>
        </w:rPr>
        <w:t>s</w:t>
      </w:r>
      <w:r w:rsidR="00EF29D9">
        <w:rPr>
          <w:rStyle w:val="apple-style-span"/>
          <w:rFonts w:ascii="Times New Roman" w:hAnsi="Times New Roman" w:cs="Times New Roman"/>
          <w:sz w:val="24"/>
          <w:szCs w:val="24"/>
        </w:rPr>
        <w:t xml:space="preserve"> to be a new global reserve currency, declaring "This is an idea whose time has come</w:t>
      </w:r>
      <w:r w:rsidR="00E9243C">
        <w:rPr>
          <w:rStyle w:val="apple-style-span"/>
          <w:rFonts w:ascii="Times New Roman" w:hAnsi="Times New Roman" w:cs="Times New Roman"/>
          <w:sz w:val="24"/>
          <w:szCs w:val="24"/>
        </w:rPr>
        <w:t>".</w:t>
      </w:r>
    </w:p>
    <w:p w:rsidR="00E9243C" w:rsidRDefault="00E9243C" w:rsidP="00FE144C">
      <w:pPr>
        <w:autoSpaceDE w:val="0"/>
        <w:autoSpaceDN w:val="0"/>
        <w:adjustRightInd w:val="0"/>
        <w:snapToGrid w:val="0"/>
        <w:spacing w:after="0" w:line="240" w:lineRule="auto"/>
        <w:rPr>
          <w:rStyle w:val="apple-style-span"/>
          <w:rFonts w:ascii="Times New Roman" w:hAnsi="Times New Roman" w:cs="Times New Roman"/>
          <w:sz w:val="24"/>
          <w:szCs w:val="24"/>
        </w:rPr>
      </w:pPr>
    </w:p>
    <w:p w:rsidR="00E9243C" w:rsidRDefault="00E9243C" w:rsidP="00E924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Economist Barry </w:t>
      </w:r>
      <w:proofErr w:type="spellStart"/>
      <w:r>
        <w:rPr>
          <w:rFonts w:ascii="Times New Roman" w:hAnsi="Times New Roman" w:cs="Times New Roman"/>
          <w:sz w:val="24"/>
          <w:szCs w:val="24"/>
        </w:rPr>
        <w:t>Eichengreen</w:t>
      </w:r>
      <w:proofErr w:type="spellEnd"/>
      <w:r>
        <w:rPr>
          <w:rFonts w:ascii="Times New Roman" w:hAnsi="Times New Roman" w:cs="Times New Roman"/>
          <w:sz w:val="24"/>
          <w:szCs w:val="24"/>
        </w:rPr>
        <w:t xml:space="preserve"> </w:t>
      </w:r>
      <w:r w:rsidR="00D9526B">
        <w:rPr>
          <w:rFonts w:ascii="Times New Roman" w:hAnsi="Times New Roman" w:cs="Times New Roman"/>
          <w:sz w:val="24"/>
          <w:szCs w:val="24"/>
        </w:rPr>
        <w:t>edited, with Duck-Koo Chung</w:t>
      </w:r>
      <w:r w:rsidR="00C24C8E">
        <w:rPr>
          <w:rFonts w:ascii="Times New Roman" w:hAnsi="Times New Roman" w:cs="Times New Roman"/>
          <w:sz w:val="24"/>
          <w:szCs w:val="24"/>
        </w:rPr>
        <w:t>,</w:t>
      </w:r>
      <w:r w:rsidR="00D9526B">
        <w:rPr>
          <w:rFonts w:ascii="Times New Roman" w:hAnsi="Times New Roman" w:cs="Times New Roman"/>
          <w:sz w:val="24"/>
          <w:szCs w:val="24"/>
        </w:rPr>
        <w:t xml:space="preserve"> a collection of essays under the description Fostering Monetary &amp; Financial Cooperation </w:t>
      </w:r>
      <w:r w:rsidR="00F82086">
        <w:rPr>
          <w:rFonts w:ascii="Times New Roman" w:hAnsi="Times New Roman" w:cs="Times New Roman"/>
          <w:sz w:val="24"/>
          <w:szCs w:val="24"/>
        </w:rPr>
        <w:t>in</w:t>
      </w:r>
      <w:r w:rsidR="00D9526B">
        <w:rPr>
          <w:rFonts w:ascii="Times New Roman" w:hAnsi="Times New Roman" w:cs="Times New Roman"/>
          <w:sz w:val="24"/>
          <w:szCs w:val="24"/>
        </w:rPr>
        <w:t xml:space="preserve"> East Asia. His own essay, </w:t>
      </w:r>
      <w:r w:rsidR="00AA745B">
        <w:rPr>
          <w:rFonts w:ascii="Times New Roman" w:hAnsi="Times New Roman" w:cs="Times New Roman"/>
          <w:sz w:val="24"/>
          <w:szCs w:val="24"/>
        </w:rPr>
        <w:t xml:space="preserve">Fostering Monetary &amp; Exchange-rate Cooperation in East Asia, </w:t>
      </w:r>
      <w:r w:rsidR="00D9526B">
        <w:rPr>
          <w:rFonts w:ascii="Times New Roman" w:hAnsi="Times New Roman" w:cs="Times New Roman"/>
          <w:sz w:val="24"/>
          <w:szCs w:val="24"/>
        </w:rPr>
        <w:t xml:space="preserve">discusses </w:t>
      </w:r>
      <w:r>
        <w:rPr>
          <w:rFonts w:ascii="Times New Roman" w:hAnsi="Times New Roman" w:cs="Times New Roman"/>
          <w:sz w:val="24"/>
          <w:szCs w:val="24"/>
        </w:rPr>
        <w:t>the creation of an East Asian "parallel regional currency"</w:t>
      </w:r>
      <w:r w:rsidR="00D9526B">
        <w:rPr>
          <w:rFonts w:ascii="Times New Roman" w:hAnsi="Times New Roman" w:cs="Times New Roman"/>
          <w:sz w:val="24"/>
          <w:szCs w:val="24"/>
        </w:rPr>
        <w:t>. He commences by noting that Leaders in East Asia are consistent in calling for cooperation to stabilise exchange rates.</w:t>
      </w:r>
    </w:p>
    <w:p w:rsidR="00E9243C" w:rsidRDefault="00E9243C" w:rsidP="00E9243C">
      <w:pPr>
        <w:autoSpaceDE w:val="0"/>
        <w:autoSpaceDN w:val="0"/>
        <w:adjustRightInd w:val="0"/>
        <w:snapToGrid w:val="0"/>
        <w:spacing w:after="0" w:line="240" w:lineRule="auto"/>
        <w:rPr>
          <w:rFonts w:ascii="Times New Roman" w:hAnsi="Times New Roman" w:cs="Times New Roman"/>
          <w:sz w:val="24"/>
          <w:szCs w:val="24"/>
        </w:rPr>
      </w:pPr>
    </w:p>
    <w:p w:rsidR="00D9526B" w:rsidRDefault="00D9526B" w:rsidP="00E9243C">
      <w:pPr>
        <w:autoSpaceDE w:val="0"/>
        <w:autoSpaceDN w:val="0"/>
        <w:adjustRightInd w:val="0"/>
        <w:snapToGrid w:val="0"/>
        <w:spacing w:after="0" w:line="240" w:lineRule="auto"/>
        <w:rPr>
          <w:rFonts w:ascii="Times New Roman" w:hAnsi="Times New Roman" w:cs="Times New Roman"/>
          <w:sz w:val="24"/>
          <w:szCs w:val="24"/>
        </w:rPr>
      </w:pPr>
      <w:r>
        <w:rPr>
          <w:rStyle w:val="apple-style-span"/>
          <w:rFonts w:ascii="Times New Roman" w:hAnsi="Times New Roman" w:cs="Times New Roman"/>
          <w:sz w:val="24"/>
          <w:szCs w:val="24"/>
        </w:rPr>
        <w:t xml:space="preserve">The suggestion I put forward for consideration is the establishment of a parallel currency for the Asia-Pacific. </w:t>
      </w:r>
      <w:r w:rsidR="00B85353">
        <w:rPr>
          <w:rFonts w:ascii="Times New Roman" w:hAnsi="Times New Roman" w:cs="Times New Roman"/>
          <w:sz w:val="24"/>
          <w:szCs w:val="24"/>
        </w:rPr>
        <w:t xml:space="preserve">What could be considered is the </w:t>
      </w:r>
      <w:r w:rsidR="00B85353" w:rsidRPr="00D42C04">
        <w:rPr>
          <w:rFonts w:ascii="Times New Roman" w:hAnsi="Times New Roman" w:cs="Times New Roman"/>
          <w:sz w:val="24"/>
          <w:szCs w:val="24"/>
        </w:rPr>
        <w:t>creation of an APEC reserve currency</w:t>
      </w:r>
      <w:r w:rsidR="001A4CFC">
        <w:rPr>
          <w:rFonts w:ascii="Times New Roman" w:hAnsi="Times New Roman" w:cs="Times New Roman"/>
          <w:sz w:val="24"/>
          <w:szCs w:val="24"/>
        </w:rPr>
        <w:t xml:space="preserve"> – </w:t>
      </w:r>
      <w:r w:rsidR="00BC40BA">
        <w:rPr>
          <w:rFonts w:ascii="Times New Roman" w:hAnsi="Times New Roman" w:cs="Times New Roman"/>
          <w:sz w:val="24"/>
          <w:szCs w:val="24"/>
        </w:rPr>
        <w:t xml:space="preserve">for now let's call it </w:t>
      </w:r>
      <w:r w:rsidR="00B85353">
        <w:rPr>
          <w:rFonts w:ascii="Times New Roman" w:hAnsi="Times New Roman" w:cs="Times New Roman"/>
          <w:sz w:val="24"/>
          <w:szCs w:val="24"/>
        </w:rPr>
        <w:t xml:space="preserve">the APECCU. </w:t>
      </w:r>
    </w:p>
    <w:p w:rsidR="001A4CFC" w:rsidRDefault="001A4CFC" w:rsidP="00E9243C">
      <w:pPr>
        <w:autoSpaceDE w:val="0"/>
        <w:autoSpaceDN w:val="0"/>
        <w:adjustRightInd w:val="0"/>
        <w:snapToGrid w:val="0"/>
        <w:spacing w:after="0" w:line="240" w:lineRule="auto"/>
        <w:rPr>
          <w:rStyle w:val="apple-style-span"/>
          <w:rFonts w:ascii="Times New Roman" w:hAnsi="Times New Roman" w:cs="Times New Roman"/>
          <w:sz w:val="24"/>
          <w:szCs w:val="24"/>
        </w:rPr>
      </w:pPr>
    </w:p>
    <w:p w:rsidR="001A4CFC" w:rsidRDefault="00537174" w:rsidP="001A4CFC">
      <w:pPr>
        <w:autoSpaceDE w:val="0"/>
        <w:autoSpaceDN w:val="0"/>
        <w:adjustRightInd w:val="0"/>
        <w:snapToGrid w:val="0"/>
        <w:spacing w:after="0" w:line="240" w:lineRule="auto"/>
        <w:rPr>
          <w:rStyle w:val="apple-style-span"/>
          <w:rFonts w:ascii="Times New Roman" w:hAnsi="Times New Roman" w:cs="Times New Roman"/>
          <w:sz w:val="24"/>
          <w:szCs w:val="24"/>
        </w:rPr>
      </w:pPr>
      <w:r w:rsidRPr="00537174">
        <w:rPr>
          <w:rFonts w:ascii="Times New Roman" w:hAnsi="Times New Roman" w:cs="Times New Roman"/>
          <w:sz w:val="24"/>
          <w:szCs w:val="24"/>
        </w:rPr>
        <w:t>APEC's 21 members include the world's three largest economies</w:t>
      </w:r>
      <w:r w:rsidR="00864711">
        <w:rPr>
          <w:rFonts w:ascii="Times New Roman" w:hAnsi="Times New Roman" w:cs="Times New Roman"/>
          <w:sz w:val="24"/>
          <w:szCs w:val="24"/>
        </w:rPr>
        <w:t>, account for approximately 40</w:t>
      </w:r>
      <w:r w:rsidRPr="00537174">
        <w:rPr>
          <w:rFonts w:ascii="Times New Roman" w:hAnsi="Times New Roman" w:cs="Times New Roman"/>
          <w:sz w:val="24"/>
          <w:szCs w:val="24"/>
        </w:rPr>
        <w:t>% of the world'</w:t>
      </w:r>
      <w:r w:rsidR="00864711">
        <w:rPr>
          <w:rFonts w:ascii="Times New Roman" w:hAnsi="Times New Roman" w:cs="Times New Roman"/>
          <w:sz w:val="24"/>
          <w:szCs w:val="24"/>
        </w:rPr>
        <w:t>s population, approximately 54</w:t>
      </w:r>
      <w:r w:rsidRPr="00537174">
        <w:rPr>
          <w:rFonts w:ascii="Times New Roman" w:hAnsi="Times New Roman" w:cs="Times New Roman"/>
          <w:sz w:val="24"/>
          <w:szCs w:val="24"/>
        </w:rPr>
        <w:t xml:space="preserve">% of world GDP </w:t>
      </w:r>
      <w:r w:rsidR="00864711">
        <w:rPr>
          <w:rFonts w:ascii="Times New Roman" w:hAnsi="Times New Roman" w:cs="Times New Roman"/>
          <w:sz w:val="24"/>
          <w:szCs w:val="24"/>
        </w:rPr>
        <w:t>and about 43</w:t>
      </w:r>
      <w:r w:rsidRPr="00537174">
        <w:rPr>
          <w:rFonts w:ascii="Times New Roman" w:hAnsi="Times New Roman" w:cs="Times New Roman"/>
          <w:sz w:val="24"/>
          <w:szCs w:val="24"/>
        </w:rPr>
        <w:t xml:space="preserve">% of world trade.  APEC is probably better placed than any other institution to advance and achieve a concrete solution.  It has the </w:t>
      </w:r>
      <w:r w:rsidR="00E9243C">
        <w:rPr>
          <w:rFonts w:ascii="Times New Roman" w:hAnsi="Times New Roman" w:cs="Times New Roman"/>
          <w:sz w:val="24"/>
          <w:szCs w:val="24"/>
        </w:rPr>
        <w:t xml:space="preserve">unparalleled </w:t>
      </w:r>
      <w:r w:rsidRPr="00537174">
        <w:rPr>
          <w:rFonts w:ascii="Times New Roman" w:hAnsi="Times New Roman" w:cs="Times New Roman"/>
          <w:sz w:val="24"/>
          <w:szCs w:val="24"/>
        </w:rPr>
        <w:t>experience of successfully advancing free trade and investment</w:t>
      </w:r>
      <w:r w:rsidR="00E9243C">
        <w:rPr>
          <w:rFonts w:ascii="Times New Roman" w:hAnsi="Times New Roman" w:cs="Times New Roman"/>
          <w:sz w:val="24"/>
          <w:szCs w:val="24"/>
        </w:rPr>
        <w:t xml:space="preserve"> for </w:t>
      </w:r>
      <w:r w:rsidRPr="00537174">
        <w:rPr>
          <w:rFonts w:ascii="Times New Roman" w:hAnsi="Times New Roman" w:cs="Times New Roman"/>
          <w:sz w:val="24"/>
          <w:szCs w:val="24"/>
        </w:rPr>
        <w:t xml:space="preserve">the economies of the region.  </w:t>
      </w:r>
      <w:r w:rsidR="00864711">
        <w:rPr>
          <w:rFonts w:ascii="Times New Roman" w:hAnsi="Times New Roman" w:cs="Times New Roman"/>
          <w:sz w:val="24"/>
          <w:szCs w:val="24"/>
        </w:rPr>
        <w:t>An APEC initiative might be the catalyst for global reform in the same way as APEC was able to be a catalyst for the successful completion of the Uruguay round.</w:t>
      </w:r>
      <w:r w:rsidR="00B85353">
        <w:rPr>
          <w:rFonts w:ascii="Times New Roman" w:hAnsi="Times New Roman" w:cs="Times New Roman"/>
          <w:sz w:val="24"/>
          <w:szCs w:val="24"/>
        </w:rPr>
        <w:t xml:space="preserve"> Obvious candidates for early participation would be East Asian economies outside APEC. But APEC has the institutional structure to get it up and running</w:t>
      </w:r>
      <w:r w:rsidR="001A4CFC">
        <w:rPr>
          <w:rFonts w:ascii="Times New Roman" w:hAnsi="Times New Roman" w:cs="Times New Roman"/>
          <w:sz w:val="24"/>
          <w:szCs w:val="24"/>
        </w:rPr>
        <w:t xml:space="preserve">. So, to </w:t>
      </w:r>
      <w:r w:rsidR="001A4CFC">
        <w:rPr>
          <w:rStyle w:val="apple-style-span"/>
          <w:rFonts w:ascii="Times New Roman" w:hAnsi="Times New Roman" w:cs="Times New Roman"/>
          <w:sz w:val="24"/>
          <w:szCs w:val="24"/>
        </w:rPr>
        <w:t xml:space="preserve">my mind an APEC reserve currency makes better sense than an East Asian reserve currency. </w:t>
      </w:r>
    </w:p>
    <w:p w:rsidR="00D42C04" w:rsidRPr="00D42C04" w:rsidRDefault="00D42C04" w:rsidP="00D42C04">
      <w:pPr>
        <w:spacing w:after="0" w:line="240" w:lineRule="auto"/>
        <w:rPr>
          <w:rFonts w:ascii="Times New Roman" w:hAnsi="Times New Roman" w:cs="Times New Roman"/>
          <w:sz w:val="24"/>
          <w:szCs w:val="24"/>
        </w:rPr>
      </w:pPr>
    </w:p>
    <w:p w:rsidR="00AD1C06" w:rsidRDefault="001A4CFC" w:rsidP="00D42C04">
      <w:pPr>
        <w:spacing w:after="0" w:line="240" w:lineRule="auto"/>
        <w:rPr>
          <w:rFonts w:ascii="Times New Roman" w:hAnsi="Times New Roman" w:cs="Times New Roman"/>
          <w:sz w:val="24"/>
          <w:szCs w:val="24"/>
        </w:rPr>
      </w:pPr>
      <w:r>
        <w:rPr>
          <w:rFonts w:ascii="Times New Roman" w:hAnsi="Times New Roman" w:cs="Times New Roman"/>
          <w:sz w:val="24"/>
          <w:szCs w:val="24"/>
        </w:rPr>
        <w:t>It c</w:t>
      </w:r>
      <w:r w:rsidR="00AD1C06">
        <w:rPr>
          <w:rFonts w:ascii="Times New Roman" w:hAnsi="Times New Roman" w:cs="Times New Roman"/>
          <w:sz w:val="24"/>
          <w:szCs w:val="24"/>
        </w:rPr>
        <w:t>ould have the following features.</w:t>
      </w:r>
    </w:p>
    <w:p w:rsidR="00AD1C06" w:rsidRDefault="00AD1C06" w:rsidP="00D42C04">
      <w:pPr>
        <w:spacing w:after="0" w:line="240" w:lineRule="auto"/>
        <w:rPr>
          <w:rFonts w:ascii="Times New Roman" w:hAnsi="Times New Roman" w:cs="Times New Roman"/>
          <w:sz w:val="24"/>
          <w:szCs w:val="24"/>
        </w:rPr>
      </w:pPr>
    </w:p>
    <w:p w:rsidR="00E32EB0" w:rsidRDefault="00F82086" w:rsidP="00D42C04">
      <w:pPr>
        <w:spacing w:after="0" w:line="240" w:lineRule="auto"/>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It</w:t>
      </w:r>
      <w:r w:rsidR="00864711">
        <w:rPr>
          <w:rFonts w:ascii="Times New Roman" w:hAnsi="Times New Roman" w:cs="Times New Roman"/>
          <w:sz w:val="24"/>
          <w:szCs w:val="24"/>
        </w:rPr>
        <w:t xml:space="preserve">s </w:t>
      </w:r>
      <w:r w:rsidR="00AD1C06">
        <w:rPr>
          <w:rFonts w:ascii="Times New Roman" w:hAnsi="Times New Roman" w:cs="Times New Roman"/>
          <w:sz w:val="24"/>
          <w:szCs w:val="24"/>
        </w:rPr>
        <w:t>value could be fixed in a way similar to the way in which I</w:t>
      </w:r>
      <w:r w:rsidR="00E7777B">
        <w:rPr>
          <w:rFonts w:ascii="Times New Roman" w:hAnsi="Times New Roman" w:cs="Times New Roman"/>
          <w:sz w:val="24"/>
          <w:szCs w:val="24"/>
        </w:rPr>
        <w:t>MF Special Drawing Rights</w:t>
      </w:r>
      <w:r w:rsidR="00AD1C06">
        <w:rPr>
          <w:rFonts w:ascii="Times New Roman" w:hAnsi="Times New Roman" w:cs="Times New Roman"/>
          <w:sz w:val="24"/>
          <w:szCs w:val="24"/>
        </w:rPr>
        <w:t xml:space="preserve"> are fixed but would be based on a basket of the 21 APEC currencies. The value of the APECCU would fluctuate according to the fluctuation of the currencies in the basket. </w:t>
      </w:r>
    </w:p>
    <w:p w:rsidR="00E32EB0" w:rsidRDefault="00E32EB0" w:rsidP="00D42C04">
      <w:pPr>
        <w:spacing w:after="0" w:line="240" w:lineRule="auto"/>
        <w:rPr>
          <w:rFonts w:ascii="Times New Roman" w:hAnsi="Times New Roman" w:cs="Times New Roman"/>
          <w:sz w:val="24"/>
          <w:szCs w:val="24"/>
        </w:rPr>
      </w:pPr>
    </w:p>
    <w:p w:rsidR="00AD65A3" w:rsidRDefault="00AD1C06" w:rsidP="00D42C0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APECCU would not replace domestic currencies – it would not be a single currency for the region like the euro is for the euro zone economies. Economies would not be prevented from having exchange rate arrangements considered to be necessary or desirable for their own economies' monetary or other economic conditions. Their domestic currencies would adjust against the APECCU according to the </w:t>
      </w:r>
      <w:r w:rsidR="000569F4">
        <w:rPr>
          <w:rFonts w:ascii="Times New Roman" w:hAnsi="Times New Roman" w:cs="Times New Roman"/>
          <w:sz w:val="24"/>
          <w:szCs w:val="24"/>
        </w:rPr>
        <w:t>arrangements they have in place. Control of their own monetary and other economic conditions would be enhanced because of greater stability of the exchange rate of their currency with the</w:t>
      </w:r>
      <w:r w:rsidR="00AD65A3">
        <w:rPr>
          <w:rFonts w:ascii="Times New Roman" w:hAnsi="Times New Roman" w:cs="Times New Roman"/>
          <w:sz w:val="24"/>
          <w:szCs w:val="24"/>
        </w:rPr>
        <w:t xml:space="preserve"> APEC reserve currency.</w:t>
      </w:r>
    </w:p>
    <w:p w:rsidR="00E32EB0" w:rsidRDefault="00E32EB0" w:rsidP="00D42C04">
      <w:pPr>
        <w:spacing w:after="0" w:line="240" w:lineRule="auto"/>
        <w:rPr>
          <w:rFonts w:ascii="Times New Roman" w:hAnsi="Times New Roman" w:cs="Times New Roman"/>
          <w:sz w:val="24"/>
          <w:szCs w:val="24"/>
        </w:rPr>
      </w:pPr>
    </w:p>
    <w:p w:rsidR="00E32EB0" w:rsidRDefault="00E32EB0" w:rsidP="00E32EB0">
      <w:pPr>
        <w:spacing w:after="0" w:line="240" w:lineRule="auto"/>
        <w:rPr>
          <w:rFonts w:ascii="Times New Roman" w:hAnsi="Times New Roman" w:cs="Times New Roman"/>
          <w:sz w:val="24"/>
          <w:szCs w:val="24"/>
        </w:rPr>
      </w:pPr>
      <w:r>
        <w:rPr>
          <w:rFonts w:ascii="Times New Roman" w:hAnsi="Times New Roman" w:cs="Times New Roman"/>
          <w:sz w:val="24"/>
          <w:szCs w:val="24"/>
        </w:rPr>
        <w:t>Volatility can be eliminated only by currency union. As the proposal is not for currency union, there will still be volatility as between an economy's domestic currency and the APECCU. This will arise both because of fluctuations in the value of the domestic currency and also because of fluctuations in the value of the APECCU.</w:t>
      </w:r>
      <w:r w:rsidRPr="00E32EB0">
        <w:rPr>
          <w:rFonts w:ascii="Times New Roman" w:hAnsi="Times New Roman" w:cs="Times New Roman"/>
          <w:sz w:val="24"/>
          <w:szCs w:val="24"/>
        </w:rPr>
        <w:t xml:space="preserve"> </w:t>
      </w:r>
    </w:p>
    <w:p w:rsidR="00E32EB0" w:rsidRDefault="00E32EB0" w:rsidP="00E32EB0">
      <w:pPr>
        <w:spacing w:after="0" w:line="240" w:lineRule="auto"/>
        <w:rPr>
          <w:rFonts w:ascii="Times New Roman" w:hAnsi="Times New Roman" w:cs="Times New Roman"/>
          <w:sz w:val="24"/>
          <w:szCs w:val="24"/>
        </w:rPr>
      </w:pPr>
    </w:p>
    <w:p w:rsidR="00EB6A1B" w:rsidRDefault="00E32EB0" w:rsidP="00AD65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Movements in the exchange rates of the larger economies would have greater influence </w:t>
      </w:r>
      <w:r w:rsidR="003A0390">
        <w:rPr>
          <w:rFonts w:ascii="Times New Roman" w:hAnsi="Times New Roman" w:cs="Times New Roman"/>
          <w:sz w:val="24"/>
          <w:szCs w:val="24"/>
        </w:rPr>
        <w:t xml:space="preserve">on the APECCU’s value </w:t>
      </w:r>
      <w:r>
        <w:rPr>
          <w:rFonts w:ascii="Times New Roman" w:hAnsi="Times New Roman" w:cs="Times New Roman"/>
          <w:sz w:val="24"/>
          <w:szCs w:val="24"/>
        </w:rPr>
        <w:t xml:space="preserve">than movements in the smaller economies, but </w:t>
      </w:r>
      <w:r w:rsidR="003A0390">
        <w:rPr>
          <w:rFonts w:ascii="Times New Roman" w:hAnsi="Times New Roman" w:cs="Times New Roman"/>
          <w:sz w:val="24"/>
          <w:szCs w:val="24"/>
        </w:rPr>
        <w:t xml:space="preserve">as one of 21 currencies </w:t>
      </w:r>
      <w:r>
        <w:rPr>
          <w:rFonts w:ascii="Times New Roman" w:hAnsi="Times New Roman" w:cs="Times New Roman"/>
          <w:sz w:val="24"/>
          <w:szCs w:val="24"/>
        </w:rPr>
        <w:t xml:space="preserve">the impact would be indirect and fluctuations might tend to cancel each other out. Even if that did not occur, there would be diversification unlike the present situation where changes in monetary </w:t>
      </w:r>
      <w:r w:rsidR="00AD65A3">
        <w:rPr>
          <w:rFonts w:ascii="Times New Roman" w:hAnsi="Times New Roman" w:cs="Times New Roman"/>
          <w:sz w:val="24"/>
          <w:szCs w:val="24"/>
        </w:rPr>
        <w:t xml:space="preserve">and other economic </w:t>
      </w:r>
      <w:r>
        <w:rPr>
          <w:rFonts w:ascii="Times New Roman" w:hAnsi="Times New Roman" w:cs="Times New Roman"/>
          <w:sz w:val="24"/>
          <w:szCs w:val="24"/>
        </w:rPr>
        <w:t>conditions</w:t>
      </w:r>
      <w:r w:rsidR="00AD65A3">
        <w:rPr>
          <w:rFonts w:ascii="Times New Roman" w:hAnsi="Times New Roman" w:cs="Times New Roman"/>
          <w:sz w:val="24"/>
          <w:szCs w:val="24"/>
        </w:rPr>
        <w:t xml:space="preserve"> in </w:t>
      </w:r>
      <w:r>
        <w:rPr>
          <w:rFonts w:ascii="Times New Roman" w:hAnsi="Times New Roman" w:cs="Times New Roman"/>
          <w:sz w:val="24"/>
          <w:szCs w:val="24"/>
        </w:rPr>
        <w:t xml:space="preserve">the US have an immediate and direct impact on exchange rates with the US dollar. Whilst volatility </w:t>
      </w:r>
      <w:r w:rsidR="00AD65A3">
        <w:rPr>
          <w:rFonts w:ascii="Times New Roman" w:hAnsi="Times New Roman" w:cs="Times New Roman"/>
          <w:sz w:val="24"/>
          <w:szCs w:val="24"/>
        </w:rPr>
        <w:t xml:space="preserve">of the </w:t>
      </w:r>
      <w:r w:rsidR="003A0390">
        <w:rPr>
          <w:rFonts w:ascii="Times New Roman" w:hAnsi="Times New Roman" w:cs="Times New Roman"/>
          <w:sz w:val="24"/>
          <w:szCs w:val="24"/>
        </w:rPr>
        <w:t xml:space="preserve">APEC </w:t>
      </w:r>
      <w:r w:rsidR="00AD65A3">
        <w:rPr>
          <w:rFonts w:ascii="Times New Roman" w:hAnsi="Times New Roman" w:cs="Times New Roman"/>
          <w:sz w:val="24"/>
          <w:szCs w:val="24"/>
        </w:rPr>
        <w:t xml:space="preserve">reserve currency </w:t>
      </w:r>
      <w:r>
        <w:rPr>
          <w:rFonts w:ascii="Times New Roman" w:hAnsi="Times New Roman" w:cs="Times New Roman"/>
          <w:sz w:val="24"/>
          <w:szCs w:val="24"/>
        </w:rPr>
        <w:t xml:space="preserve">will not be </w:t>
      </w:r>
      <w:proofErr w:type="gramStart"/>
      <w:r>
        <w:rPr>
          <w:rFonts w:ascii="Times New Roman" w:hAnsi="Times New Roman" w:cs="Times New Roman"/>
          <w:sz w:val="24"/>
          <w:szCs w:val="24"/>
        </w:rPr>
        <w:t>eliminated</w:t>
      </w:r>
      <w:r w:rsidR="003A0390">
        <w:rPr>
          <w:rFonts w:ascii="Times New Roman" w:hAnsi="Times New Roman" w:cs="Times New Roman"/>
          <w:sz w:val="24"/>
          <w:szCs w:val="24"/>
        </w:rPr>
        <w:t xml:space="preserve"> </w:t>
      </w:r>
      <w:r w:rsidR="00E7777B">
        <w:rPr>
          <w:rFonts w:ascii="Times New Roman" w:hAnsi="Times New Roman" w:cs="Times New Roman"/>
          <w:sz w:val="24"/>
          <w:szCs w:val="24"/>
        </w:rPr>
        <w:t xml:space="preserve"> </w:t>
      </w:r>
      <w:r w:rsidR="003A0390">
        <w:rPr>
          <w:rFonts w:ascii="Times New Roman" w:hAnsi="Times New Roman" w:cs="Times New Roman"/>
          <w:sz w:val="24"/>
          <w:szCs w:val="24"/>
        </w:rPr>
        <w:t>--</w:t>
      </w:r>
      <w:proofErr w:type="gramEnd"/>
      <w:r w:rsidR="003A0390">
        <w:rPr>
          <w:rFonts w:ascii="Times New Roman" w:hAnsi="Times New Roman" w:cs="Times New Roman"/>
          <w:sz w:val="24"/>
          <w:szCs w:val="24"/>
        </w:rPr>
        <w:t xml:space="preserve"> </w:t>
      </w:r>
      <w:r w:rsidR="00AD65A3">
        <w:rPr>
          <w:rFonts w:ascii="Times New Roman" w:hAnsi="Times New Roman" w:cs="Times New Roman"/>
          <w:sz w:val="24"/>
          <w:szCs w:val="24"/>
        </w:rPr>
        <w:t xml:space="preserve"> volatility in the movement of its value will be dampened by diversification. Dampened volatility will reduce uncertainty and risk.</w:t>
      </w:r>
    </w:p>
    <w:p w:rsidR="00AD65A3" w:rsidRDefault="00AD65A3" w:rsidP="00AD65A3">
      <w:pPr>
        <w:spacing w:after="0" w:line="240" w:lineRule="auto"/>
        <w:rPr>
          <w:rFonts w:ascii="Times New Roman" w:hAnsi="Times New Roman" w:cs="Times New Roman"/>
          <w:sz w:val="24"/>
          <w:szCs w:val="24"/>
        </w:rPr>
      </w:pPr>
    </w:p>
    <w:bookmarkEnd w:id="0"/>
    <w:bookmarkEnd w:id="1"/>
    <w:p w:rsidR="00EF29D9" w:rsidRDefault="008A1751" w:rsidP="00EF29D9">
      <w:pPr>
        <w:autoSpaceDE w:val="0"/>
        <w:autoSpaceDN w:val="0"/>
        <w:adjustRightInd w:val="0"/>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Tommaso</w:t>
      </w:r>
      <w:proofErr w:type="spellEnd"/>
      <w:r w:rsidR="00864711">
        <w:rPr>
          <w:rFonts w:ascii="Times New Roman" w:hAnsi="Times New Roman" w:cs="Times New Roman"/>
          <w:sz w:val="24"/>
          <w:szCs w:val="24"/>
        </w:rPr>
        <w:t xml:space="preserve"> </w:t>
      </w:r>
      <w:proofErr w:type="spellStart"/>
      <w:r w:rsidR="00864711">
        <w:rPr>
          <w:rFonts w:ascii="Times New Roman" w:hAnsi="Times New Roman" w:cs="Times New Roman"/>
          <w:sz w:val="24"/>
          <w:szCs w:val="24"/>
        </w:rPr>
        <w:t>Padoa-Schioppa</w:t>
      </w:r>
      <w:proofErr w:type="spellEnd"/>
      <w:r w:rsidR="00864711">
        <w:rPr>
          <w:rFonts w:ascii="Times New Roman" w:hAnsi="Times New Roman" w:cs="Times New Roman"/>
          <w:sz w:val="24"/>
          <w:szCs w:val="24"/>
        </w:rPr>
        <w:t xml:space="preserve"> </w:t>
      </w:r>
      <w:r>
        <w:rPr>
          <w:rFonts w:ascii="Times New Roman" w:hAnsi="Times New Roman" w:cs="Times New Roman"/>
          <w:sz w:val="24"/>
          <w:szCs w:val="24"/>
        </w:rPr>
        <w:t>died suddenly earlier this year.</w:t>
      </w:r>
      <w:r w:rsidR="00BB7CAA">
        <w:rPr>
          <w:rFonts w:ascii="Times New Roman" w:hAnsi="Times New Roman" w:cs="Times New Roman"/>
          <w:sz w:val="24"/>
          <w:szCs w:val="24"/>
        </w:rPr>
        <w:t xml:space="preserve"> He loved a quotation from Jean Monnet, as recounted in </w:t>
      </w:r>
      <w:r w:rsidR="004F6739">
        <w:rPr>
          <w:rFonts w:ascii="Times New Roman" w:hAnsi="Times New Roman" w:cs="Times New Roman"/>
          <w:sz w:val="24"/>
          <w:szCs w:val="24"/>
        </w:rPr>
        <w:t xml:space="preserve">a eulogy given by Jean-Claude </w:t>
      </w:r>
      <w:proofErr w:type="spellStart"/>
      <w:r w:rsidR="004F6739">
        <w:rPr>
          <w:rFonts w:ascii="Times New Roman" w:hAnsi="Times New Roman" w:cs="Times New Roman"/>
          <w:sz w:val="24"/>
          <w:szCs w:val="24"/>
        </w:rPr>
        <w:t>Trichet</w:t>
      </w:r>
      <w:proofErr w:type="spellEnd"/>
      <w:r w:rsidR="004F6739">
        <w:rPr>
          <w:rFonts w:ascii="Times New Roman" w:hAnsi="Times New Roman" w:cs="Times New Roman"/>
          <w:sz w:val="24"/>
          <w:szCs w:val="24"/>
        </w:rPr>
        <w:t xml:space="preserve">, President of the European Central Bank. </w:t>
      </w:r>
      <w:r>
        <w:rPr>
          <w:rFonts w:ascii="Times New Roman" w:hAnsi="Times New Roman" w:cs="Times New Roman"/>
          <w:sz w:val="24"/>
          <w:szCs w:val="24"/>
        </w:rPr>
        <w:t xml:space="preserve">Translated from the French </w:t>
      </w:r>
      <w:r w:rsidR="00EB6A1B">
        <w:rPr>
          <w:rFonts w:ascii="Times New Roman" w:hAnsi="Times New Roman" w:cs="Times New Roman"/>
          <w:sz w:val="24"/>
          <w:szCs w:val="24"/>
        </w:rPr>
        <w:t xml:space="preserve">it </w:t>
      </w:r>
      <w:r>
        <w:rPr>
          <w:rFonts w:ascii="Times New Roman" w:hAnsi="Times New Roman" w:cs="Times New Roman"/>
          <w:sz w:val="24"/>
          <w:szCs w:val="24"/>
        </w:rPr>
        <w:t>is: "</w:t>
      </w:r>
      <w:r w:rsidR="00EB6A1B">
        <w:rPr>
          <w:rFonts w:ascii="Times New Roman" w:hAnsi="Times New Roman" w:cs="Times New Roman"/>
          <w:sz w:val="24"/>
          <w:szCs w:val="24"/>
        </w:rPr>
        <w:t xml:space="preserve">When </w:t>
      </w:r>
      <w:r>
        <w:rPr>
          <w:rFonts w:ascii="Times New Roman" w:hAnsi="Times New Roman" w:cs="Times New Roman"/>
          <w:sz w:val="24"/>
          <w:szCs w:val="24"/>
        </w:rPr>
        <w:t>one is determined as regards the desired goal, one must act without making multiple hypotheses on the risks of failure. As long as you did not try it, you cannot state that the endeavour is impossible".</w:t>
      </w:r>
      <w:r w:rsidR="004F6739" w:rsidRPr="004F6739">
        <w:rPr>
          <w:rFonts w:ascii="Times New Roman" w:hAnsi="Times New Roman" w:cs="Times New Roman"/>
          <w:sz w:val="24"/>
          <w:szCs w:val="24"/>
        </w:rPr>
        <w:t xml:space="preserve"> </w:t>
      </w:r>
    </w:p>
    <w:p w:rsidR="004F6739" w:rsidRDefault="004F6739" w:rsidP="00EF29D9">
      <w:pPr>
        <w:autoSpaceDE w:val="0"/>
        <w:autoSpaceDN w:val="0"/>
        <w:adjustRightInd w:val="0"/>
        <w:snapToGrid w:val="0"/>
        <w:spacing w:after="0" w:line="240" w:lineRule="auto"/>
        <w:rPr>
          <w:rFonts w:ascii="Times New Roman" w:hAnsi="Times New Roman" w:cs="Times New Roman"/>
          <w:sz w:val="24"/>
          <w:szCs w:val="24"/>
        </w:rPr>
      </w:pPr>
    </w:p>
    <w:p w:rsidR="00BB7CAA" w:rsidRDefault="004F6739" w:rsidP="004F6739">
      <w:pPr>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Plainly many difficulties would have to be overcome to bring to fruition</w:t>
      </w:r>
      <w:r w:rsidR="00BB7CAA">
        <w:rPr>
          <w:rFonts w:ascii="Times New Roman" w:hAnsi="Times New Roman" w:cs="Times New Roman"/>
          <w:sz w:val="24"/>
          <w:szCs w:val="24"/>
        </w:rPr>
        <w:t xml:space="preserve"> a proposal for </w:t>
      </w:r>
      <w:r w:rsidR="00A81C89">
        <w:rPr>
          <w:rFonts w:ascii="Times New Roman" w:hAnsi="Times New Roman" w:cs="Times New Roman"/>
          <w:sz w:val="24"/>
          <w:szCs w:val="24"/>
        </w:rPr>
        <w:t>a parallel reserve currency within APEC</w:t>
      </w:r>
      <w:r w:rsidR="00BC40BA">
        <w:rPr>
          <w:rFonts w:ascii="Times New Roman" w:hAnsi="Times New Roman" w:cs="Times New Roman"/>
          <w:sz w:val="24"/>
          <w:szCs w:val="24"/>
        </w:rPr>
        <w:t>. It is an ambitious proposal. B</w:t>
      </w:r>
      <w:r>
        <w:rPr>
          <w:rFonts w:ascii="Times New Roman" w:hAnsi="Times New Roman" w:cs="Times New Roman"/>
          <w:sz w:val="24"/>
          <w:szCs w:val="24"/>
        </w:rPr>
        <w:t xml:space="preserve">ut as expressed so potently in that quotation, difficulties exist to be overcome and if the goal is desirable we should </w:t>
      </w:r>
      <w:r w:rsidR="00BB7CAA">
        <w:rPr>
          <w:rFonts w:ascii="Times New Roman" w:hAnsi="Times New Roman" w:cs="Times New Roman"/>
          <w:sz w:val="24"/>
          <w:szCs w:val="24"/>
        </w:rPr>
        <w:t>not be deterred from trying.</w:t>
      </w:r>
    </w:p>
    <w:p w:rsidR="00BB7CAA" w:rsidRDefault="00BB7CAA" w:rsidP="004F6739">
      <w:pPr>
        <w:autoSpaceDE w:val="0"/>
        <w:autoSpaceDN w:val="0"/>
        <w:adjustRightInd w:val="0"/>
        <w:snapToGrid w:val="0"/>
        <w:spacing w:after="0" w:line="240" w:lineRule="auto"/>
        <w:rPr>
          <w:rFonts w:ascii="Times New Roman" w:hAnsi="Times New Roman" w:cs="Times New Roman"/>
          <w:sz w:val="24"/>
          <w:szCs w:val="24"/>
        </w:rPr>
      </w:pPr>
    </w:p>
    <w:p w:rsidR="0086459E" w:rsidRPr="00D42C04" w:rsidRDefault="00BB7CAA" w:rsidP="002E22C1">
      <w:pPr>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The simplified aim of this symposium is to increase private investment flows within the Asia-Pacific region.</w:t>
      </w:r>
      <w:r w:rsidR="009F19B5">
        <w:rPr>
          <w:rFonts w:ascii="Times New Roman" w:hAnsi="Times New Roman" w:cs="Times New Roman"/>
          <w:sz w:val="24"/>
          <w:szCs w:val="24"/>
        </w:rPr>
        <w:t xml:space="preserve"> Investment flows will be increased if uncertainties facing investors are reduced. </w:t>
      </w:r>
      <w:r w:rsidR="00C24C8E">
        <w:rPr>
          <w:rFonts w:ascii="Times New Roman" w:hAnsi="Times New Roman" w:cs="Times New Roman"/>
          <w:sz w:val="24"/>
          <w:szCs w:val="24"/>
        </w:rPr>
        <w:t>Uncertainties will be reduced by domestic reforms to bring economies' laws, practices, policies and institutions into line with the APEC non-binding investment</w:t>
      </w:r>
      <w:r w:rsidR="00F82086">
        <w:rPr>
          <w:rFonts w:ascii="Times New Roman" w:hAnsi="Times New Roman" w:cs="Times New Roman"/>
          <w:sz w:val="24"/>
          <w:szCs w:val="24"/>
        </w:rPr>
        <w:t xml:space="preserve"> principles</w:t>
      </w:r>
      <w:r w:rsidR="00C24C8E">
        <w:rPr>
          <w:rFonts w:ascii="Times New Roman" w:hAnsi="Times New Roman" w:cs="Times New Roman"/>
          <w:sz w:val="24"/>
          <w:szCs w:val="24"/>
        </w:rPr>
        <w:t>. Uncertainties would be further reduced if a way could be found to achieve currency stability and, more broadly, to eliminate monetary disorder.</w:t>
      </w:r>
    </w:p>
    <w:sectPr w:rsidR="0086459E" w:rsidRPr="00D42C04" w:rsidSect="000764B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D83" w:rsidRDefault="00D63D83" w:rsidP="00FE144C">
      <w:pPr>
        <w:spacing w:after="0" w:line="240" w:lineRule="auto"/>
      </w:pPr>
      <w:r>
        <w:separator/>
      </w:r>
    </w:p>
  </w:endnote>
  <w:endnote w:type="continuationSeparator" w:id="0">
    <w:p w:rsidR="00D63D83" w:rsidRDefault="00D63D83" w:rsidP="00FE1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D83" w:rsidRDefault="00D63D83" w:rsidP="00FE144C">
      <w:pPr>
        <w:spacing w:after="0" w:line="240" w:lineRule="auto"/>
      </w:pPr>
      <w:r>
        <w:separator/>
      </w:r>
    </w:p>
  </w:footnote>
  <w:footnote w:type="continuationSeparator" w:id="0">
    <w:p w:rsidR="00D63D83" w:rsidRDefault="00D63D83" w:rsidP="00FE144C">
      <w:pPr>
        <w:spacing w:after="0" w:line="240" w:lineRule="auto"/>
      </w:pPr>
      <w:r>
        <w:continuationSeparator/>
      </w:r>
    </w:p>
  </w:footnote>
  <w:footnote w:id="1">
    <w:p w:rsidR="00E726F1" w:rsidRDefault="00E726F1" w:rsidP="00E726F1">
      <w:r>
        <w:rPr>
          <w:rStyle w:val="FootnoteReference"/>
        </w:rPr>
        <w:footnoteRef/>
      </w:r>
      <w:r>
        <w:t xml:space="preserve"> </w:t>
      </w:r>
      <w:hyperlink r:id="rId1" w:history="1">
        <w:r>
          <w:rPr>
            <w:rStyle w:val="Hyperlink"/>
          </w:rPr>
          <w:t>http://www.keidanren.or.jp/abac/report/en/20101014d.pdf</w:t>
        </w:r>
      </w:hyperlink>
    </w:p>
    <w:p w:rsidR="00E726F1" w:rsidRPr="00E726F1" w:rsidRDefault="00E726F1">
      <w:pPr>
        <w:pStyle w:val="FootnoteText"/>
        <w:rPr>
          <w:lang w:val="en-N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7156"/>
    <w:multiLevelType w:val="hybridMultilevel"/>
    <w:tmpl w:val="0B46F342"/>
    <w:lvl w:ilvl="0" w:tplc="BE4294B8">
      <w:start w:val="1"/>
      <w:numFmt w:val="decimal"/>
      <w:lvlText w:val="%1."/>
      <w:lvlJc w:val="left"/>
      <w:pPr>
        <w:tabs>
          <w:tab w:val="num" w:pos="720"/>
        </w:tabs>
        <w:ind w:left="720" w:hanging="360"/>
      </w:pPr>
      <w:rPr>
        <w:rFonts w:ascii="Times New Roman" w:hAnsi="Times New Roman" w:cs="Times New Roman" w:hint="default"/>
        <w:b w:val="0"/>
      </w:rPr>
    </w:lvl>
    <w:lvl w:ilvl="1" w:tplc="7F36D4B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0C275B"/>
    <w:multiLevelType w:val="hybridMultilevel"/>
    <w:tmpl w:val="A48C004A"/>
    <w:lvl w:ilvl="0" w:tplc="0409000F">
      <w:start w:val="1"/>
      <w:numFmt w:val="decimal"/>
      <w:lvlText w:val="%1."/>
      <w:lvlJc w:val="left"/>
      <w:pPr>
        <w:tabs>
          <w:tab w:val="num" w:pos="720"/>
        </w:tabs>
        <w:ind w:left="720" w:hanging="360"/>
      </w:pPr>
    </w:lvl>
    <w:lvl w:ilvl="1" w:tplc="95D8E6B0">
      <w:start w:val="68"/>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AA41E4"/>
    <w:multiLevelType w:val="multilevel"/>
    <w:tmpl w:val="1D4A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44653"/>
    <w:multiLevelType w:val="hybridMultilevel"/>
    <w:tmpl w:val="5B66D96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5C4058EA"/>
    <w:multiLevelType w:val="hybridMultilevel"/>
    <w:tmpl w:val="50CE53A8"/>
    <w:lvl w:ilvl="0" w:tplc="DD9AE8DE">
      <w:numFmt w:val="bullet"/>
      <w:lvlText w:val=""/>
      <w:lvlJc w:val="left"/>
      <w:pPr>
        <w:ind w:left="1080" w:hanging="360"/>
      </w:pPr>
      <w:rPr>
        <w:rFonts w:ascii="Wingdings" w:eastAsiaTheme="minorHAnsi" w:hAnsi="Wingdings"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dgnword-docGUID" w:val="{DC399DA4-2EC2-42CF-B58C-D7A21B9B41A0}"/>
    <w:docVar w:name="dgnword-eventsink" w:val="90375408"/>
  </w:docVars>
  <w:rsids>
    <w:rsidRoot w:val="006F737E"/>
    <w:rsid w:val="000569F4"/>
    <w:rsid w:val="000764BB"/>
    <w:rsid w:val="00091C53"/>
    <w:rsid w:val="000B77E3"/>
    <w:rsid w:val="000C02A8"/>
    <w:rsid w:val="0011204B"/>
    <w:rsid w:val="00126E42"/>
    <w:rsid w:val="00145EB8"/>
    <w:rsid w:val="00171697"/>
    <w:rsid w:val="0018295E"/>
    <w:rsid w:val="001A4CFC"/>
    <w:rsid w:val="001A5434"/>
    <w:rsid w:val="001C0CD9"/>
    <w:rsid w:val="001E6AA6"/>
    <w:rsid w:val="001F3F73"/>
    <w:rsid w:val="00264293"/>
    <w:rsid w:val="00292938"/>
    <w:rsid w:val="002C1EE9"/>
    <w:rsid w:val="002C6E2A"/>
    <w:rsid w:val="002E22C1"/>
    <w:rsid w:val="002E74D0"/>
    <w:rsid w:val="00305258"/>
    <w:rsid w:val="003177AA"/>
    <w:rsid w:val="00331C77"/>
    <w:rsid w:val="00346672"/>
    <w:rsid w:val="003A0390"/>
    <w:rsid w:val="003B4536"/>
    <w:rsid w:val="00432508"/>
    <w:rsid w:val="0044547B"/>
    <w:rsid w:val="004758F5"/>
    <w:rsid w:val="004A6B36"/>
    <w:rsid w:val="004F1202"/>
    <w:rsid w:val="004F6739"/>
    <w:rsid w:val="00507315"/>
    <w:rsid w:val="00537174"/>
    <w:rsid w:val="00574488"/>
    <w:rsid w:val="00582562"/>
    <w:rsid w:val="0061358E"/>
    <w:rsid w:val="00636040"/>
    <w:rsid w:val="00636C89"/>
    <w:rsid w:val="006F5A2A"/>
    <w:rsid w:val="006F6B8B"/>
    <w:rsid w:val="006F737E"/>
    <w:rsid w:val="00727E07"/>
    <w:rsid w:val="007466E3"/>
    <w:rsid w:val="00774CCC"/>
    <w:rsid w:val="00776B30"/>
    <w:rsid w:val="00782CAD"/>
    <w:rsid w:val="007F3833"/>
    <w:rsid w:val="00823588"/>
    <w:rsid w:val="00856854"/>
    <w:rsid w:val="0086459E"/>
    <w:rsid w:val="00864711"/>
    <w:rsid w:val="008A1751"/>
    <w:rsid w:val="008E2477"/>
    <w:rsid w:val="00907B53"/>
    <w:rsid w:val="00945AF8"/>
    <w:rsid w:val="00986F93"/>
    <w:rsid w:val="009B2FD9"/>
    <w:rsid w:val="009C6FD9"/>
    <w:rsid w:val="009F19B5"/>
    <w:rsid w:val="00A51C83"/>
    <w:rsid w:val="00A62BC3"/>
    <w:rsid w:val="00A81A6E"/>
    <w:rsid w:val="00A81C89"/>
    <w:rsid w:val="00AA745B"/>
    <w:rsid w:val="00AB34C0"/>
    <w:rsid w:val="00AC10AB"/>
    <w:rsid w:val="00AD1C06"/>
    <w:rsid w:val="00AD65A3"/>
    <w:rsid w:val="00AD7C9F"/>
    <w:rsid w:val="00AF668D"/>
    <w:rsid w:val="00B038C4"/>
    <w:rsid w:val="00B27596"/>
    <w:rsid w:val="00B34003"/>
    <w:rsid w:val="00B6211F"/>
    <w:rsid w:val="00B649D2"/>
    <w:rsid w:val="00B85353"/>
    <w:rsid w:val="00B87022"/>
    <w:rsid w:val="00BB7CAA"/>
    <w:rsid w:val="00BC40BA"/>
    <w:rsid w:val="00C24C8E"/>
    <w:rsid w:val="00C43717"/>
    <w:rsid w:val="00C45567"/>
    <w:rsid w:val="00C709BD"/>
    <w:rsid w:val="00C72173"/>
    <w:rsid w:val="00C9304E"/>
    <w:rsid w:val="00CA6494"/>
    <w:rsid w:val="00CC2990"/>
    <w:rsid w:val="00CC535F"/>
    <w:rsid w:val="00CF3F5F"/>
    <w:rsid w:val="00D4106E"/>
    <w:rsid w:val="00D42C04"/>
    <w:rsid w:val="00D63D83"/>
    <w:rsid w:val="00D82E86"/>
    <w:rsid w:val="00D9526B"/>
    <w:rsid w:val="00DA719E"/>
    <w:rsid w:val="00DD1183"/>
    <w:rsid w:val="00E22C55"/>
    <w:rsid w:val="00E32EB0"/>
    <w:rsid w:val="00E53A01"/>
    <w:rsid w:val="00E62099"/>
    <w:rsid w:val="00E726F1"/>
    <w:rsid w:val="00E73F81"/>
    <w:rsid w:val="00E7777B"/>
    <w:rsid w:val="00E84DC9"/>
    <w:rsid w:val="00E87300"/>
    <w:rsid w:val="00E9243C"/>
    <w:rsid w:val="00E927DE"/>
    <w:rsid w:val="00EB6A1B"/>
    <w:rsid w:val="00EF29D9"/>
    <w:rsid w:val="00F23D3E"/>
    <w:rsid w:val="00F82086"/>
    <w:rsid w:val="00FA3D85"/>
    <w:rsid w:val="00FB1691"/>
    <w:rsid w:val="00FC1980"/>
    <w:rsid w:val="00FD0181"/>
    <w:rsid w:val="00FE1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535F"/>
  </w:style>
  <w:style w:type="character" w:customStyle="1" w:styleId="apple-style-span">
    <w:name w:val="apple-style-span"/>
    <w:basedOn w:val="DefaultParagraphFont"/>
    <w:rsid w:val="00C72173"/>
  </w:style>
  <w:style w:type="paragraph" w:styleId="FootnoteText">
    <w:name w:val="footnote text"/>
    <w:basedOn w:val="Normal"/>
    <w:link w:val="FootnoteTextChar"/>
    <w:semiHidden/>
    <w:rsid w:val="00FE144C"/>
    <w:pPr>
      <w:spacing w:after="0" w:line="240" w:lineRule="auto"/>
    </w:pPr>
    <w:rPr>
      <w:rFonts w:ascii="Times New Roman" w:eastAsia="MS Mincho" w:hAnsi="Times New Roman" w:cs="Times New Roman"/>
      <w:sz w:val="20"/>
      <w:szCs w:val="20"/>
      <w:lang w:val="en-US"/>
    </w:rPr>
  </w:style>
  <w:style w:type="character" w:customStyle="1" w:styleId="FootnoteTextChar">
    <w:name w:val="Footnote Text Char"/>
    <w:basedOn w:val="DefaultParagraphFont"/>
    <w:link w:val="FootnoteText"/>
    <w:rsid w:val="00FE144C"/>
    <w:rPr>
      <w:rFonts w:ascii="Times New Roman" w:eastAsia="MS Mincho" w:hAnsi="Times New Roman" w:cs="Times New Roman"/>
      <w:sz w:val="20"/>
      <w:szCs w:val="20"/>
      <w:lang w:val="en-US"/>
    </w:rPr>
  </w:style>
  <w:style w:type="character" w:styleId="FootnoteReference">
    <w:name w:val="footnote reference"/>
    <w:basedOn w:val="DefaultParagraphFont"/>
    <w:semiHidden/>
    <w:rsid w:val="00FE144C"/>
    <w:rPr>
      <w:vertAlign w:val="superscript"/>
    </w:rPr>
  </w:style>
  <w:style w:type="character" w:styleId="Hyperlink">
    <w:name w:val="Hyperlink"/>
    <w:basedOn w:val="DefaultParagraphFont"/>
    <w:rsid w:val="00636C89"/>
    <w:rPr>
      <w:color w:val="0000FF"/>
      <w:u w:val="single"/>
    </w:rPr>
  </w:style>
  <w:style w:type="paragraph" w:styleId="NormalWeb">
    <w:name w:val="Normal (Web)"/>
    <w:basedOn w:val="Normal"/>
    <w:rsid w:val="00D82E86"/>
    <w:pPr>
      <w:spacing w:before="100" w:beforeAutospacing="1" w:after="100" w:afterAutospacing="1" w:line="240" w:lineRule="auto"/>
    </w:pPr>
    <w:rPr>
      <w:rFonts w:ascii="Arial" w:eastAsia="Times New Roman" w:hAnsi="Arial" w:cs="Arial"/>
      <w:color w:val="000000"/>
      <w:sz w:val="25"/>
      <w:szCs w:val="25"/>
      <w:lang w:val="en-US"/>
    </w:rPr>
  </w:style>
  <w:style w:type="paragraph" w:styleId="ListParagraph">
    <w:name w:val="List Paragraph"/>
    <w:basedOn w:val="Normal"/>
    <w:uiPriority w:val="34"/>
    <w:qFormat/>
    <w:rsid w:val="00E22C55"/>
    <w:pPr>
      <w:ind w:left="720"/>
      <w:contextualSpacing/>
    </w:pPr>
  </w:style>
</w:styles>
</file>

<file path=word/webSettings.xml><?xml version="1.0" encoding="utf-8"?>
<w:webSettings xmlns:r="http://schemas.openxmlformats.org/officeDocument/2006/relationships" xmlns:w="http://schemas.openxmlformats.org/wordprocessingml/2006/main">
  <w:divs>
    <w:div w:id="1980694808">
      <w:bodyDiv w:val="1"/>
      <w:marLeft w:val="0"/>
      <w:marRight w:val="0"/>
      <w:marTop w:val="0"/>
      <w:marBottom w:val="0"/>
      <w:divBdr>
        <w:top w:val="none" w:sz="0" w:space="0" w:color="auto"/>
        <w:left w:val="none" w:sz="0" w:space="0" w:color="auto"/>
        <w:bottom w:val="none" w:sz="0" w:space="0" w:color="auto"/>
        <w:right w:val="none" w:sz="0" w:space="0" w:color="auto"/>
      </w:divBdr>
    </w:div>
    <w:div w:id="201729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eidanren.or.jp/abac/report/en/20101014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5D463-DE8F-4903-B102-BC0FBDA0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Margaret</cp:lastModifiedBy>
  <cp:revision>2</cp:revision>
  <cp:lastPrinted>2011-04-01T17:32:00Z</cp:lastPrinted>
  <dcterms:created xsi:type="dcterms:W3CDTF">2011-04-12T01:44:00Z</dcterms:created>
  <dcterms:modified xsi:type="dcterms:W3CDTF">2011-04-12T01:44:00Z</dcterms:modified>
</cp:coreProperties>
</file>