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51" w:rsidRDefault="00AD333C" w:rsidP="00F41C3B">
      <w:pPr>
        <w:autoSpaceDE w:val="0"/>
        <w:autoSpaceDN w:val="0"/>
        <w:adjustRightInd w:val="0"/>
        <w:snapToGrid w:val="0"/>
        <w:rPr>
          <w:rFonts w:ascii="Garamond" w:hAnsi="Garamond"/>
        </w:rPr>
      </w:pPr>
      <w:r w:rsidRPr="00F41C3B">
        <w:rPr>
          <w:rFonts w:ascii="Garamond" w:hAnsi="Garamond"/>
          <w:b/>
        </w:rPr>
        <w:t>Document Title</w:t>
      </w:r>
      <w:r w:rsidR="003245C7" w:rsidRPr="00F41C3B">
        <w:rPr>
          <w:rFonts w:ascii="Garamond" w:hAnsi="Garamond"/>
          <w:b/>
        </w:rPr>
        <w:t>:</w:t>
      </w:r>
      <w:r w:rsidR="003245C7" w:rsidRPr="00F41C3B">
        <w:rPr>
          <w:rFonts w:ascii="Garamond" w:hAnsi="Garamond"/>
        </w:rPr>
        <w:t xml:space="preserve"> </w:t>
      </w:r>
    </w:p>
    <w:p w:rsidR="00E8705E" w:rsidRPr="00F41C3B" w:rsidRDefault="00AD333C" w:rsidP="00F41C3B">
      <w:pPr>
        <w:autoSpaceDE w:val="0"/>
        <w:autoSpaceDN w:val="0"/>
        <w:adjustRightInd w:val="0"/>
        <w:snapToGrid w:val="0"/>
        <w:rPr>
          <w:rFonts w:ascii="Garamond" w:hAnsi="Garamond"/>
        </w:rPr>
      </w:pPr>
      <w:r w:rsidRPr="00F41C3B">
        <w:rPr>
          <w:rFonts w:ascii="Garamond" w:hAnsi="Garamond"/>
        </w:rPr>
        <w:t>Report to ABAC — BUILDING A STABLE CURRENCY REGIME</w:t>
      </w:r>
      <w:r w:rsidR="001A6651">
        <w:rPr>
          <w:rFonts w:ascii="Garamond" w:hAnsi="Garamond"/>
        </w:rPr>
        <w:t>.</w:t>
      </w:r>
    </w:p>
    <w:p w:rsidR="00E8705E" w:rsidRDefault="00E8705E" w:rsidP="00E8705E">
      <w:pPr>
        <w:autoSpaceDE w:val="0"/>
        <w:autoSpaceDN w:val="0"/>
        <w:adjustRightInd w:val="0"/>
        <w:ind w:right="2340"/>
        <w:rPr>
          <w:rFonts w:ascii="Garamond" w:hAnsi="Garamond"/>
          <w:b/>
          <w:bCs/>
        </w:rPr>
      </w:pPr>
    </w:p>
    <w:p w:rsidR="001A6651" w:rsidRDefault="00AD333C" w:rsidP="00E8705E">
      <w:pPr>
        <w:autoSpaceDE w:val="0"/>
        <w:autoSpaceDN w:val="0"/>
        <w:adjustRightInd w:val="0"/>
        <w:ind w:right="2340"/>
        <w:rPr>
          <w:rFonts w:ascii="Garamond" w:hAnsi="Garamond"/>
          <w:b/>
          <w:bCs/>
        </w:rPr>
      </w:pPr>
      <w:r w:rsidRPr="00F41C3B">
        <w:rPr>
          <w:rFonts w:ascii="Garamond" w:hAnsi="Garamond"/>
          <w:b/>
          <w:bCs/>
        </w:rPr>
        <w:t>Purpose:</w:t>
      </w:r>
      <w:r w:rsidR="003245C7" w:rsidRPr="00F41C3B">
        <w:rPr>
          <w:rFonts w:ascii="Garamond" w:hAnsi="Garamond"/>
          <w:b/>
          <w:bCs/>
        </w:rPr>
        <w:t xml:space="preserve">  </w:t>
      </w:r>
    </w:p>
    <w:p w:rsidR="00AD333C" w:rsidRPr="00F41C3B" w:rsidRDefault="00AD333C" w:rsidP="00E8705E">
      <w:pPr>
        <w:autoSpaceDE w:val="0"/>
        <w:autoSpaceDN w:val="0"/>
        <w:adjustRightInd w:val="0"/>
        <w:ind w:right="2340"/>
        <w:rPr>
          <w:rFonts w:ascii="Garamond" w:hAnsi="Garamond"/>
          <w:b/>
          <w:bCs/>
        </w:rPr>
      </w:pPr>
      <w:proofErr w:type="gramStart"/>
      <w:r w:rsidRPr="00F41C3B">
        <w:rPr>
          <w:rFonts w:ascii="Garamond" w:hAnsi="Garamond"/>
          <w:bCs/>
        </w:rPr>
        <w:t>For consideration</w:t>
      </w:r>
      <w:r w:rsidR="001A6651">
        <w:rPr>
          <w:rFonts w:ascii="Garamond" w:hAnsi="Garamond"/>
          <w:bCs/>
        </w:rPr>
        <w:t>.</w:t>
      </w:r>
      <w:proofErr w:type="gramEnd"/>
    </w:p>
    <w:p w:rsidR="00AD333C" w:rsidRDefault="00AD333C" w:rsidP="00E8705E">
      <w:pPr>
        <w:autoSpaceDE w:val="0"/>
        <w:autoSpaceDN w:val="0"/>
        <w:adjustRightInd w:val="0"/>
        <w:ind w:right="2340"/>
        <w:rPr>
          <w:rFonts w:ascii="Garamond" w:hAnsi="Garamond"/>
          <w:b/>
          <w:bCs/>
        </w:rPr>
      </w:pPr>
    </w:p>
    <w:p w:rsidR="001A6651" w:rsidRDefault="00AD333C" w:rsidP="00F41C3B">
      <w:pPr>
        <w:autoSpaceDE w:val="0"/>
        <w:autoSpaceDN w:val="0"/>
        <w:adjustRightInd w:val="0"/>
        <w:snapToGrid w:val="0"/>
        <w:rPr>
          <w:rFonts w:ascii="Garamond" w:hAnsi="Garamond"/>
        </w:rPr>
      </w:pPr>
      <w:r w:rsidRPr="00F41C3B">
        <w:rPr>
          <w:rFonts w:ascii="Garamond" w:hAnsi="Garamond"/>
          <w:b/>
        </w:rPr>
        <w:t>Issue</w:t>
      </w:r>
      <w:r w:rsidR="003245C7" w:rsidRPr="00F41C3B">
        <w:rPr>
          <w:rFonts w:ascii="Garamond" w:hAnsi="Garamond"/>
          <w:b/>
        </w:rPr>
        <w:t>:</w:t>
      </w:r>
      <w:r w:rsidR="003245C7" w:rsidRPr="00F41C3B">
        <w:rPr>
          <w:rFonts w:ascii="Garamond" w:hAnsi="Garamond"/>
        </w:rPr>
        <w:t xml:space="preserve">  </w:t>
      </w:r>
    </w:p>
    <w:p w:rsidR="00AD333C" w:rsidRPr="00F41C3B" w:rsidRDefault="00AD333C" w:rsidP="00F41C3B">
      <w:pPr>
        <w:autoSpaceDE w:val="0"/>
        <w:autoSpaceDN w:val="0"/>
        <w:adjustRightInd w:val="0"/>
        <w:snapToGrid w:val="0"/>
        <w:rPr>
          <w:rFonts w:ascii="Garamond" w:hAnsi="Garamond"/>
        </w:rPr>
      </w:pPr>
      <w:proofErr w:type="gramStart"/>
      <w:r w:rsidRPr="00F41C3B">
        <w:rPr>
          <w:rFonts w:ascii="Garamond" w:hAnsi="Garamond"/>
        </w:rPr>
        <w:t xml:space="preserve">Whether ABAC should consider promoting the creation of </w:t>
      </w:r>
      <w:r w:rsidR="00F41C3B">
        <w:rPr>
          <w:rFonts w:ascii="Garamond" w:hAnsi="Garamond"/>
        </w:rPr>
        <w:t>a</w:t>
      </w:r>
      <w:r w:rsidRPr="00F41C3B">
        <w:rPr>
          <w:rFonts w:ascii="Garamond" w:hAnsi="Garamond"/>
        </w:rPr>
        <w:t xml:space="preserve">n APEC </w:t>
      </w:r>
      <w:r w:rsidR="0095262C" w:rsidRPr="00F41C3B">
        <w:rPr>
          <w:rFonts w:ascii="Garamond" w:hAnsi="Garamond"/>
        </w:rPr>
        <w:t>currency</w:t>
      </w:r>
      <w:r w:rsidRPr="00F41C3B">
        <w:rPr>
          <w:rFonts w:ascii="Garamond" w:hAnsi="Garamond"/>
        </w:rPr>
        <w:t>, which might be called the APECCU.</w:t>
      </w:r>
      <w:proofErr w:type="gramEnd"/>
    </w:p>
    <w:p w:rsidR="00E8705E" w:rsidRDefault="00E8705E" w:rsidP="00E8705E">
      <w:pPr>
        <w:autoSpaceDE w:val="0"/>
        <w:autoSpaceDN w:val="0"/>
        <w:adjustRightInd w:val="0"/>
        <w:ind w:right="2340"/>
        <w:rPr>
          <w:rFonts w:ascii="Garamond" w:hAnsi="Garamond"/>
          <w:b/>
          <w:bCs/>
        </w:rPr>
      </w:pPr>
    </w:p>
    <w:p w:rsidR="001A6651" w:rsidRDefault="00AD333C" w:rsidP="00E8705E">
      <w:pPr>
        <w:ind w:right="2340"/>
        <w:rPr>
          <w:rFonts w:ascii="Garamond" w:hAnsi="Garamond"/>
          <w:b/>
        </w:rPr>
      </w:pPr>
      <w:r w:rsidRPr="00F41C3B">
        <w:rPr>
          <w:rFonts w:ascii="Garamond" w:hAnsi="Garamond"/>
          <w:b/>
        </w:rPr>
        <w:t>Submitted by:</w:t>
      </w:r>
      <w:r w:rsidR="00E8705E" w:rsidRPr="00F41C3B">
        <w:rPr>
          <w:rFonts w:ascii="Garamond" w:hAnsi="Garamond"/>
          <w:b/>
        </w:rPr>
        <w:t xml:space="preserve"> </w:t>
      </w:r>
    </w:p>
    <w:p w:rsidR="00C4230E" w:rsidRPr="00F41C3B" w:rsidRDefault="00E8705E" w:rsidP="00E8705E">
      <w:pPr>
        <w:ind w:right="2340"/>
        <w:rPr>
          <w:rFonts w:ascii="Garamond" w:hAnsi="Garamond"/>
          <w:b/>
        </w:rPr>
      </w:pPr>
      <w:proofErr w:type="gramStart"/>
      <w:r w:rsidRPr="00F41C3B">
        <w:rPr>
          <w:rFonts w:ascii="Garamond" w:hAnsi="Garamond"/>
        </w:rPr>
        <w:t>ABAC New Zealand</w:t>
      </w:r>
      <w:r w:rsidR="001A6651">
        <w:rPr>
          <w:rFonts w:ascii="Garamond" w:hAnsi="Garamond"/>
        </w:rPr>
        <w:t>.</w:t>
      </w:r>
      <w:proofErr w:type="gramEnd"/>
    </w:p>
    <w:p w:rsidR="00E8705E" w:rsidRDefault="00E8705E" w:rsidP="00E8705E">
      <w:pPr>
        <w:ind w:right="2340"/>
        <w:rPr>
          <w:rFonts w:ascii="Garamond" w:hAnsi="Garamond"/>
          <w:b/>
        </w:rPr>
      </w:pPr>
    </w:p>
    <w:p w:rsidR="001A6651" w:rsidRPr="00F41C3B" w:rsidRDefault="001A6651" w:rsidP="00E8705E">
      <w:pPr>
        <w:ind w:right="2340"/>
        <w:rPr>
          <w:rFonts w:ascii="Garamond" w:hAnsi="Garamond"/>
          <w:b/>
        </w:rPr>
      </w:pPr>
    </w:p>
    <w:p w:rsidR="00C4230E" w:rsidRPr="00F41C3B" w:rsidRDefault="00AD333C" w:rsidP="00AD333C">
      <w:pPr>
        <w:autoSpaceDE w:val="0"/>
        <w:autoSpaceDN w:val="0"/>
        <w:adjustRightInd w:val="0"/>
        <w:rPr>
          <w:rFonts w:ascii="Garamond" w:hAnsi="Garamond"/>
          <w:b/>
        </w:rPr>
      </w:pPr>
      <w:r w:rsidRPr="00F41C3B">
        <w:rPr>
          <w:rFonts w:ascii="Garamond" w:hAnsi="Garamond"/>
          <w:b/>
        </w:rPr>
        <w:t xml:space="preserve">Background </w:t>
      </w:r>
    </w:p>
    <w:p w:rsidR="00AD333C" w:rsidRPr="00F41C3B" w:rsidRDefault="00AD333C" w:rsidP="00AD333C">
      <w:pPr>
        <w:autoSpaceDE w:val="0"/>
        <w:autoSpaceDN w:val="0"/>
        <w:adjustRightInd w:val="0"/>
        <w:rPr>
          <w:rFonts w:ascii="Garamond" w:hAnsi="Garamond"/>
        </w:rPr>
      </w:pPr>
    </w:p>
    <w:p w:rsidR="0075175A" w:rsidRPr="00F41C3B" w:rsidRDefault="00F41C3B" w:rsidP="0075175A">
      <w:pPr>
        <w:autoSpaceDE w:val="0"/>
        <w:autoSpaceDN w:val="0"/>
        <w:adjustRightInd w:val="0"/>
        <w:snapToGrid w:val="0"/>
        <w:rPr>
          <w:rFonts w:ascii="Garamond" w:hAnsi="Garamond"/>
        </w:rPr>
      </w:pPr>
      <w:r>
        <w:rPr>
          <w:rFonts w:ascii="Garamond" w:hAnsi="Garamond"/>
        </w:rPr>
        <w:t>1</w:t>
      </w:r>
      <w:r>
        <w:rPr>
          <w:rFonts w:ascii="Garamond" w:hAnsi="Garamond"/>
        </w:rPr>
        <w:tab/>
      </w:r>
      <w:r w:rsidR="00FE2654" w:rsidRPr="00F41C3B">
        <w:rPr>
          <w:rFonts w:ascii="Garamond" w:hAnsi="Garamond"/>
        </w:rPr>
        <w:t>The first paper on this topic</w:t>
      </w:r>
      <w:r w:rsidR="00E013CF" w:rsidRPr="00F41C3B">
        <w:rPr>
          <w:rStyle w:val="FootnoteReference"/>
          <w:rFonts w:ascii="Garamond" w:hAnsi="Garamond"/>
        </w:rPr>
        <w:footnoteReference w:id="1"/>
      </w:r>
      <w:r w:rsidR="00FE2654" w:rsidRPr="00F41C3B">
        <w:rPr>
          <w:rFonts w:ascii="Garamond" w:hAnsi="Garamond"/>
        </w:rPr>
        <w:t xml:space="preserve"> was presented in Taipei when FEWG decided the matter should be the subject of further consideration.</w:t>
      </w:r>
      <w:r w:rsidR="00AD333C" w:rsidRPr="00F41C3B">
        <w:rPr>
          <w:rFonts w:ascii="Garamond" w:hAnsi="Garamond"/>
        </w:rPr>
        <w:t xml:space="preserve">  A further </w:t>
      </w:r>
      <w:r w:rsidR="00FE2654" w:rsidRPr="00F41C3B">
        <w:rPr>
          <w:rFonts w:ascii="Garamond" w:hAnsi="Garamond"/>
        </w:rPr>
        <w:t xml:space="preserve">paper </w:t>
      </w:r>
      <w:r w:rsidR="00AD333C" w:rsidRPr="00F41C3B">
        <w:rPr>
          <w:rFonts w:ascii="Garamond" w:hAnsi="Garamond"/>
        </w:rPr>
        <w:t>was presented in Yokohama</w:t>
      </w:r>
      <w:r w:rsidR="00E013CF" w:rsidRPr="00F41C3B">
        <w:rPr>
          <w:rStyle w:val="FootnoteReference"/>
          <w:rFonts w:ascii="Garamond" w:hAnsi="Garamond"/>
        </w:rPr>
        <w:footnoteReference w:id="2"/>
      </w:r>
      <w:r w:rsidR="00AD333C" w:rsidRPr="00F41C3B">
        <w:rPr>
          <w:rFonts w:ascii="Garamond" w:hAnsi="Garamond"/>
        </w:rPr>
        <w:t xml:space="preserve">.  It proposed </w:t>
      </w:r>
      <w:r w:rsidR="00FE2654" w:rsidRPr="00F41C3B">
        <w:rPr>
          <w:rFonts w:ascii="Garamond" w:hAnsi="Garamond"/>
        </w:rPr>
        <w:t>that ABAC consider promoting the creation of an APEC reserve</w:t>
      </w:r>
      <w:r w:rsidR="00B75BCF" w:rsidRPr="00F41C3B">
        <w:rPr>
          <w:rFonts w:ascii="Garamond" w:hAnsi="Garamond"/>
        </w:rPr>
        <w:t>/trading</w:t>
      </w:r>
      <w:r w:rsidR="00FE2654" w:rsidRPr="00F41C3B">
        <w:rPr>
          <w:rFonts w:ascii="Garamond" w:hAnsi="Garamond"/>
        </w:rPr>
        <w:t xml:space="preserve"> currency, an APEC </w:t>
      </w:r>
      <w:r w:rsidR="00B75BCF" w:rsidRPr="00F41C3B">
        <w:rPr>
          <w:rFonts w:ascii="Garamond" w:hAnsi="Garamond"/>
        </w:rPr>
        <w:t>CU</w:t>
      </w:r>
      <w:r w:rsidR="00FE2654" w:rsidRPr="00F41C3B">
        <w:rPr>
          <w:rFonts w:ascii="Garamond" w:hAnsi="Garamond"/>
        </w:rPr>
        <w:t xml:space="preserve">rrency, which might be called the APECCU.  </w:t>
      </w:r>
      <w:r w:rsidR="0075175A" w:rsidRPr="00F41C3B">
        <w:rPr>
          <w:rFonts w:ascii="Garamond" w:hAnsi="Garamond"/>
        </w:rPr>
        <w:t xml:space="preserve">This paper </w:t>
      </w:r>
      <w:r w:rsidR="00B75BCF" w:rsidRPr="00F41C3B">
        <w:rPr>
          <w:rFonts w:ascii="Garamond" w:hAnsi="Garamond"/>
        </w:rPr>
        <w:t>discusses</w:t>
      </w:r>
      <w:r w:rsidR="0075175A" w:rsidRPr="00F41C3B">
        <w:rPr>
          <w:rFonts w:ascii="Garamond" w:hAnsi="Garamond"/>
        </w:rPr>
        <w:t xml:space="preserve"> further matters relevant to the issue including addressing comments made in Yokohama.  </w:t>
      </w:r>
    </w:p>
    <w:p w:rsidR="0095262C" w:rsidRPr="00F41C3B" w:rsidRDefault="0095262C" w:rsidP="0075175A">
      <w:pPr>
        <w:autoSpaceDE w:val="0"/>
        <w:autoSpaceDN w:val="0"/>
        <w:adjustRightInd w:val="0"/>
        <w:snapToGrid w:val="0"/>
        <w:rPr>
          <w:rFonts w:ascii="Garamond" w:hAnsi="Garamond"/>
        </w:rPr>
      </w:pPr>
    </w:p>
    <w:p w:rsidR="00DA5733" w:rsidRPr="00F41C3B" w:rsidRDefault="00F41C3B" w:rsidP="0075175A">
      <w:pPr>
        <w:autoSpaceDE w:val="0"/>
        <w:autoSpaceDN w:val="0"/>
        <w:adjustRightInd w:val="0"/>
        <w:snapToGrid w:val="0"/>
        <w:rPr>
          <w:rFonts w:ascii="Garamond" w:hAnsi="Garamond"/>
        </w:rPr>
      </w:pPr>
      <w:r>
        <w:rPr>
          <w:rFonts w:ascii="Garamond" w:hAnsi="Garamond"/>
        </w:rPr>
        <w:t>2</w:t>
      </w:r>
      <w:r>
        <w:rPr>
          <w:rFonts w:ascii="Garamond" w:hAnsi="Garamond"/>
        </w:rPr>
        <w:tab/>
      </w:r>
      <w:r w:rsidR="00DA5733" w:rsidRPr="00F41C3B">
        <w:rPr>
          <w:rFonts w:ascii="Garamond" w:hAnsi="Garamond"/>
        </w:rPr>
        <w:t xml:space="preserve">The USD as the primary trading currency, the global financial crisis (GFC), the GFC's impact on the US economy and measures being taken by the US to deal with the downturn in the US economy </w:t>
      </w:r>
      <w:r w:rsidR="003245C7" w:rsidRPr="00F41C3B">
        <w:rPr>
          <w:rFonts w:ascii="Garamond" w:hAnsi="Garamond"/>
        </w:rPr>
        <w:t>have increased</w:t>
      </w:r>
      <w:r w:rsidR="00DA5733" w:rsidRPr="00F41C3B">
        <w:rPr>
          <w:rFonts w:ascii="Garamond" w:hAnsi="Garamond"/>
        </w:rPr>
        <w:t xml:space="preserve"> exchange rate volatility.  The topic was brought forward </w:t>
      </w:r>
      <w:r w:rsidR="003245C7" w:rsidRPr="00F41C3B">
        <w:rPr>
          <w:rFonts w:ascii="Garamond" w:hAnsi="Garamond"/>
        </w:rPr>
        <w:t xml:space="preserve">within the FEWG work program </w:t>
      </w:r>
      <w:r w:rsidR="00DA5733" w:rsidRPr="00F41C3B">
        <w:rPr>
          <w:rFonts w:ascii="Garamond" w:hAnsi="Garamond"/>
        </w:rPr>
        <w:t xml:space="preserve">because of members' concerns that </w:t>
      </w:r>
      <w:r w:rsidR="003245C7" w:rsidRPr="00F41C3B">
        <w:rPr>
          <w:rFonts w:ascii="Garamond" w:hAnsi="Garamond"/>
        </w:rPr>
        <w:t>exchange-rate volatility</w:t>
      </w:r>
      <w:r w:rsidR="00B75BCF" w:rsidRPr="00F41C3B">
        <w:rPr>
          <w:rFonts w:ascii="Garamond" w:hAnsi="Garamond"/>
        </w:rPr>
        <w:t xml:space="preserve"> </w:t>
      </w:r>
      <w:r w:rsidR="00DA5733" w:rsidRPr="00F41C3B">
        <w:rPr>
          <w:rFonts w:ascii="Garamond" w:hAnsi="Garamond"/>
        </w:rPr>
        <w:t xml:space="preserve">was having a serious impact on trade.  </w:t>
      </w:r>
    </w:p>
    <w:p w:rsidR="00DA5733" w:rsidRPr="00F41C3B" w:rsidRDefault="00DA5733" w:rsidP="0075175A">
      <w:pPr>
        <w:autoSpaceDE w:val="0"/>
        <w:autoSpaceDN w:val="0"/>
        <w:adjustRightInd w:val="0"/>
        <w:snapToGrid w:val="0"/>
        <w:rPr>
          <w:rFonts w:ascii="Garamond" w:hAnsi="Garamond"/>
        </w:rPr>
      </w:pPr>
    </w:p>
    <w:p w:rsidR="0075175A" w:rsidRPr="00F41C3B" w:rsidRDefault="00F41C3B" w:rsidP="0075175A">
      <w:pPr>
        <w:autoSpaceDE w:val="0"/>
        <w:autoSpaceDN w:val="0"/>
        <w:adjustRightInd w:val="0"/>
        <w:snapToGrid w:val="0"/>
        <w:rPr>
          <w:rFonts w:ascii="Garamond" w:hAnsi="Garamond"/>
        </w:rPr>
      </w:pPr>
      <w:r>
        <w:rPr>
          <w:rFonts w:ascii="Garamond" w:hAnsi="Garamond"/>
        </w:rPr>
        <w:t>3</w:t>
      </w:r>
      <w:r>
        <w:rPr>
          <w:rFonts w:ascii="Garamond" w:hAnsi="Garamond"/>
        </w:rPr>
        <w:tab/>
      </w:r>
      <w:r w:rsidR="006F5F8E" w:rsidRPr="00F41C3B">
        <w:rPr>
          <w:rFonts w:ascii="Garamond" w:hAnsi="Garamond"/>
        </w:rPr>
        <w:t>The proposal is that the APECCU's value could be fixed in a similar way to the way in which IMF Special Drawing Rights (SDRs) are fixed but would be based on a basket of the 21 APEC currencies</w:t>
      </w:r>
      <w:r w:rsidR="006F5F8E" w:rsidRPr="00F41C3B">
        <w:rPr>
          <w:rStyle w:val="FootnoteReference"/>
          <w:rFonts w:ascii="Garamond" w:hAnsi="Garamond"/>
        </w:rPr>
        <w:footnoteReference w:id="3"/>
      </w:r>
      <w:r w:rsidR="006F5F8E" w:rsidRPr="00F41C3B">
        <w:rPr>
          <w:rFonts w:ascii="Garamond" w:hAnsi="Garamond"/>
        </w:rPr>
        <w:t>. The value of the APECCU would fluctuate according to the fluctuation of the currencies in the basket.  This means movements in the exchange rates of the larger economies would have greater influence than movements in the smaller economies, but the impact would be indirect and fluctuations might tend to cancel each other out.  Even if that did not occur, there would be diversification unlike the present situation where changes in monetary conditions in the US have an immediate and direct impact on exchange rates.</w:t>
      </w:r>
    </w:p>
    <w:p w:rsidR="006F5F8E" w:rsidRPr="00F41C3B" w:rsidRDefault="006F5F8E" w:rsidP="0075175A">
      <w:pPr>
        <w:autoSpaceDE w:val="0"/>
        <w:autoSpaceDN w:val="0"/>
        <w:adjustRightInd w:val="0"/>
        <w:snapToGrid w:val="0"/>
        <w:rPr>
          <w:rFonts w:ascii="Garamond" w:hAnsi="Garamond"/>
        </w:rPr>
      </w:pPr>
    </w:p>
    <w:p w:rsidR="003245C7" w:rsidRDefault="00F41C3B" w:rsidP="0075175A">
      <w:pPr>
        <w:autoSpaceDE w:val="0"/>
        <w:autoSpaceDN w:val="0"/>
        <w:adjustRightInd w:val="0"/>
        <w:snapToGrid w:val="0"/>
        <w:rPr>
          <w:rFonts w:ascii="Garamond" w:hAnsi="Garamond"/>
        </w:rPr>
      </w:pPr>
      <w:r>
        <w:rPr>
          <w:rFonts w:ascii="Garamond" w:hAnsi="Garamond"/>
        </w:rPr>
        <w:t>4</w:t>
      </w:r>
      <w:r>
        <w:rPr>
          <w:rFonts w:ascii="Garamond" w:hAnsi="Garamond"/>
        </w:rPr>
        <w:tab/>
      </w:r>
      <w:r w:rsidR="006F5F8E" w:rsidRPr="00F41C3B">
        <w:rPr>
          <w:rFonts w:ascii="Garamond" w:hAnsi="Garamond"/>
        </w:rPr>
        <w:t xml:space="preserve">The APECCU would not replace domestic currencies – it would not be a single currency for the region like the Euro is for the Eurozone economies.  Economies would not </w:t>
      </w:r>
      <w:r w:rsidR="006F5F8E" w:rsidRPr="00F41C3B">
        <w:rPr>
          <w:rFonts w:ascii="Garamond" w:hAnsi="Garamond"/>
        </w:rPr>
        <w:lastRenderedPageBreak/>
        <w:t>be prevented from having exchange rate arrangements considered to be necessary or desirable for their own economies' monetary or other economic conditions.  Their domestic currencies would adjust against the APECCU according to the arrangements they have in place.</w:t>
      </w:r>
    </w:p>
    <w:p w:rsidR="00F41C3B" w:rsidRPr="00F41C3B" w:rsidRDefault="00F41C3B" w:rsidP="0075175A">
      <w:pPr>
        <w:autoSpaceDE w:val="0"/>
        <w:autoSpaceDN w:val="0"/>
        <w:adjustRightInd w:val="0"/>
        <w:snapToGrid w:val="0"/>
        <w:rPr>
          <w:rFonts w:ascii="Garamond" w:hAnsi="Garamond"/>
        </w:rPr>
      </w:pPr>
    </w:p>
    <w:p w:rsidR="006F5F8E" w:rsidRPr="00F41C3B" w:rsidRDefault="00F41C3B" w:rsidP="0075175A">
      <w:pPr>
        <w:autoSpaceDE w:val="0"/>
        <w:autoSpaceDN w:val="0"/>
        <w:adjustRightInd w:val="0"/>
        <w:snapToGrid w:val="0"/>
        <w:rPr>
          <w:rFonts w:ascii="Garamond" w:hAnsi="Garamond"/>
        </w:rPr>
      </w:pPr>
      <w:r>
        <w:rPr>
          <w:rFonts w:ascii="Garamond" w:hAnsi="Garamond"/>
        </w:rPr>
        <w:t>5</w:t>
      </w:r>
      <w:r>
        <w:rPr>
          <w:rFonts w:ascii="Garamond" w:hAnsi="Garamond"/>
        </w:rPr>
        <w:tab/>
      </w:r>
      <w:r w:rsidR="00B75BCF" w:rsidRPr="00F41C3B">
        <w:rPr>
          <w:rFonts w:ascii="Garamond" w:hAnsi="Garamond"/>
        </w:rPr>
        <w:t>Refer to the Yokohama paper for more details of the proposal and the Taipei paper for detailed background.</w:t>
      </w:r>
    </w:p>
    <w:p w:rsidR="006F5F8E" w:rsidRPr="00F41C3B" w:rsidRDefault="006F5F8E" w:rsidP="0075175A">
      <w:pPr>
        <w:autoSpaceDE w:val="0"/>
        <w:autoSpaceDN w:val="0"/>
        <w:adjustRightInd w:val="0"/>
        <w:snapToGrid w:val="0"/>
        <w:rPr>
          <w:rFonts w:ascii="Garamond" w:hAnsi="Garamond"/>
        </w:rPr>
      </w:pPr>
    </w:p>
    <w:p w:rsidR="0075175A" w:rsidRPr="00F41C3B" w:rsidRDefault="0075175A" w:rsidP="0075175A">
      <w:pPr>
        <w:autoSpaceDE w:val="0"/>
        <w:autoSpaceDN w:val="0"/>
        <w:adjustRightInd w:val="0"/>
        <w:snapToGrid w:val="0"/>
        <w:rPr>
          <w:rFonts w:ascii="Garamond" w:hAnsi="Garamond"/>
          <w:b/>
        </w:rPr>
      </w:pPr>
      <w:r w:rsidRPr="00F41C3B">
        <w:rPr>
          <w:rFonts w:ascii="Garamond" w:hAnsi="Garamond"/>
          <w:b/>
        </w:rPr>
        <w:t>Proposal</w:t>
      </w:r>
      <w:r w:rsidR="0095262C" w:rsidRPr="00F41C3B">
        <w:rPr>
          <w:rFonts w:ascii="Garamond" w:hAnsi="Garamond"/>
          <w:b/>
        </w:rPr>
        <w:t>/recommendation</w:t>
      </w:r>
    </w:p>
    <w:p w:rsidR="0075175A" w:rsidRPr="00F41C3B" w:rsidRDefault="0075175A" w:rsidP="0075175A">
      <w:pPr>
        <w:autoSpaceDE w:val="0"/>
        <w:autoSpaceDN w:val="0"/>
        <w:adjustRightInd w:val="0"/>
        <w:snapToGrid w:val="0"/>
        <w:rPr>
          <w:rFonts w:ascii="Garamond" w:hAnsi="Garamond"/>
        </w:rPr>
      </w:pPr>
    </w:p>
    <w:p w:rsidR="0095262C" w:rsidRPr="00F41C3B" w:rsidRDefault="00F41C3B" w:rsidP="0075175A">
      <w:pPr>
        <w:autoSpaceDE w:val="0"/>
        <w:autoSpaceDN w:val="0"/>
        <w:adjustRightInd w:val="0"/>
        <w:snapToGrid w:val="0"/>
        <w:rPr>
          <w:rFonts w:ascii="Garamond" w:hAnsi="Garamond"/>
        </w:rPr>
      </w:pPr>
      <w:r>
        <w:rPr>
          <w:rFonts w:ascii="Garamond" w:hAnsi="Garamond"/>
        </w:rPr>
        <w:t>6</w:t>
      </w:r>
      <w:r>
        <w:rPr>
          <w:rFonts w:ascii="Garamond" w:hAnsi="Garamond"/>
        </w:rPr>
        <w:tab/>
      </w:r>
      <w:r w:rsidR="0075175A" w:rsidRPr="00F41C3B">
        <w:rPr>
          <w:rFonts w:ascii="Garamond" w:hAnsi="Garamond"/>
        </w:rPr>
        <w:t>ABAC</w:t>
      </w:r>
      <w:r w:rsidR="0095262C" w:rsidRPr="00F41C3B">
        <w:rPr>
          <w:rFonts w:ascii="Garamond" w:hAnsi="Garamond"/>
        </w:rPr>
        <w:t xml:space="preserve"> should consider the issue in greater depth with a view to deciding at the third 2011 meeting whether to advance a proposal to Leaders.</w:t>
      </w:r>
      <w:r w:rsidR="009831BD" w:rsidRPr="00F41C3B">
        <w:rPr>
          <w:rFonts w:ascii="Garamond" w:hAnsi="Garamond"/>
        </w:rPr>
        <w:t xml:space="preserve"> At the same time ABAC should carefully monitor any steps which may be taken within the G 20 framework.</w:t>
      </w:r>
    </w:p>
    <w:p w:rsidR="0095262C" w:rsidRPr="00F41C3B" w:rsidRDefault="0095262C" w:rsidP="0075175A">
      <w:pPr>
        <w:autoSpaceDE w:val="0"/>
        <w:autoSpaceDN w:val="0"/>
        <w:adjustRightInd w:val="0"/>
        <w:snapToGrid w:val="0"/>
        <w:rPr>
          <w:rFonts w:ascii="Garamond" w:hAnsi="Garamond"/>
        </w:rPr>
      </w:pPr>
    </w:p>
    <w:p w:rsidR="00C62AEE" w:rsidRPr="00F41C3B" w:rsidRDefault="00C62AEE" w:rsidP="0075175A">
      <w:pPr>
        <w:autoSpaceDE w:val="0"/>
        <w:autoSpaceDN w:val="0"/>
        <w:adjustRightInd w:val="0"/>
        <w:snapToGrid w:val="0"/>
        <w:rPr>
          <w:rFonts w:ascii="Garamond" w:hAnsi="Garamond"/>
        </w:rPr>
      </w:pPr>
      <w:r w:rsidRPr="00F41C3B">
        <w:rPr>
          <w:rFonts w:ascii="Garamond" w:hAnsi="Garamond"/>
          <w:b/>
        </w:rPr>
        <w:t xml:space="preserve">PAPER </w:t>
      </w:r>
    </w:p>
    <w:p w:rsidR="00C62AEE" w:rsidRPr="00F41C3B" w:rsidRDefault="00C62AEE" w:rsidP="0075175A">
      <w:pPr>
        <w:autoSpaceDE w:val="0"/>
        <w:autoSpaceDN w:val="0"/>
        <w:adjustRightInd w:val="0"/>
        <w:snapToGrid w:val="0"/>
        <w:rPr>
          <w:rFonts w:ascii="Garamond" w:hAnsi="Garamond"/>
        </w:rPr>
      </w:pPr>
    </w:p>
    <w:p w:rsidR="0075175A" w:rsidRPr="00F41C3B" w:rsidRDefault="006F5F8E" w:rsidP="0075175A">
      <w:pPr>
        <w:autoSpaceDE w:val="0"/>
        <w:autoSpaceDN w:val="0"/>
        <w:adjustRightInd w:val="0"/>
        <w:snapToGrid w:val="0"/>
        <w:rPr>
          <w:rFonts w:ascii="Garamond" w:hAnsi="Garamond"/>
          <w:b/>
        </w:rPr>
      </w:pPr>
      <w:r w:rsidRPr="00F41C3B">
        <w:rPr>
          <w:rFonts w:ascii="Garamond" w:hAnsi="Garamond"/>
          <w:b/>
        </w:rPr>
        <w:t>Comments made in Yokohama</w:t>
      </w:r>
    </w:p>
    <w:p w:rsidR="00F004B4" w:rsidRPr="00F41C3B" w:rsidRDefault="00F004B4" w:rsidP="0075175A">
      <w:pPr>
        <w:autoSpaceDE w:val="0"/>
        <w:autoSpaceDN w:val="0"/>
        <w:adjustRightInd w:val="0"/>
        <w:snapToGrid w:val="0"/>
        <w:rPr>
          <w:rFonts w:ascii="Garamond" w:hAnsi="Garamond"/>
          <w:b/>
        </w:rPr>
      </w:pPr>
    </w:p>
    <w:p w:rsidR="00E013CF" w:rsidRPr="00F41C3B" w:rsidRDefault="00F004B4" w:rsidP="00F41C3B">
      <w:pPr>
        <w:autoSpaceDE w:val="0"/>
        <w:autoSpaceDN w:val="0"/>
        <w:adjustRightInd w:val="0"/>
        <w:snapToGrid w:val="0"/>
        <w:ind w:firstLine="720"/>
        <w:rPr>
          <w:rFonts w:ascii="Garamond" w:hAnsi="Garamond"/>
          <w:b/>
        </w:rPr>
      </w:pPr>
      <w:r w:rsidRPr="00F41C3B">
        <w:rPr>
          <w:rFonts w:ascii="Garamond" w:hAnsi="Garamond"/>
          <w:b/>
        </w:rPr>
        <w:t>Will the APECCU reduce volatility?</w:t>
      </w:r>
    </w:p>
    <w:p w:rsidR="00C62AEE" w:rsidRPr="00F41C3B" w:rsidRDefault="00F41C3B" w:rsidP="00F41C3B">
      <w:pPr>
        <w:autoSpaceDE w:val="0"/>
        <w:autoSpaceDN w:val="0"/>
        <w:adjustRightInd w:val="0"/>
        <w:snapToGrid w:val="0"/>
        <w:rPr>
          <w:rFonts w:ascii="Garamond" w:hAnsi="Garamond"/>
        </w:rPr>
      </w:pPr>
      <w:r>
        <w:rPr>
          <w:rFonts w:ascii="Garamond" w:hAnsi="Garamond"/>
        </w:rPr>
        <w:t>7</w:t>
      </w:r>
      <w:r>
        <w:rPr>
          <w:rFonts w:ascii="Garamond" w:hAnsi="Garamond"/>
        </w:rPr>
        <w:tab/>
      </w:r>
      <w:r w:rsidR="006F5F8E" w:rsidRPr="00F41C3B">
        <w:rPr>
          <w:rFonts w:ascii="Garamond" w:hAnsi="Garamond"/>
        </w:rPr>
        <w:t xml:space="preserve">The question was asked whether the APECCU would in fact reduce volatility.  </w:t>
      </w:r>
      <w:r w:rsidR="00C62AEE" w:rsidRPr="00F41C3B">
        <w:rPr>
          <w:rFonts w:ascii="Garamond" w:hAnsi="Garamond"/>
        </w:rPr>
        <w:t>This question was answered to some extent in paragraph 41 of the Y</w:t>
      </w:r>
      <w:r w:rsidR="00B75BCF" w:rsidRPr="00F41C3B">
        <w:rPr>
          <w:rFonts w:ascii="Garamond" w:hAnsi="Garamond"/>
        </w:rPr>
        <w:t>oko</w:t>
      </w:r>
      <w:r w:rsidR="00C62AEE" w:rsidRPr="00F41C3B">
        <w:rPr>
          <w:rFonts w:ascii="Garamond" w:hAnsi="Garamond"/>
        </w:rPr>
        <w:t>hama paper where it was said that the value of the APECCU would fluctuate according to the fluctuation of the currencies in the basket.  This means movements in the exchange rates of the larger economies would have greater influence than movements in the smaller economies, but the impact would be indirect and fluctuations might tend to cancel each other out.  Even if that did not occur, there would be diversification unlike the present situation where changes in monetary conditions in the US have an immediate and direct impact on exchange rates</w:t>
      </w:r>
      <w:r w:rsidR="00B75BCF" w:rsidRPr="00F41C3B">
        <w:rPr>
          <w:rFonts w:ascii="Garamond" w:hAnsi="Garamond"/>
        </w:rPr>
        <w:t xml:space="preserve"> with the USD</w:t>
      </w:r>
      <w:r w:rsidR="00C62AEE" w:rsidRPr="00F41C3B">
        <w:rPr>
          <w:rFonts w:ascii="Garamond" w:hAnsi="Garamond"/>
        </w:rPr>
        <w:t>.</w:t>
      </w:r>
    </w:p>
    <w:p w:rsidR="00C62AEE" w:rsidRPr="00F41C3B" w:rsidRDefault="00C62AEE" w:rsidP="00C62AEE">
      <w:pPr>
        <w:pStyle w:val="NormalWeb"/>
        <w:spacing w:before="0" w:beforeAutospacing="0" w:after="0" w:afterAutospacing="0" w:line="216" w:lineRule="atLeast"/>
        <w:ind w:right="240"/>
        <w:rPr>
          <w:rFonts w:ascii="Garamond" w:hAnsi="Garamond"/>
        </w:rPr>
      </w:pPr>
    </w:p>
    <w:p w:rsidR="00B47E9C" w:rsidRPr="00F41C3B" w:rsidRDefault="00F41C3B" w:rsidP="00F41C3B">
      <w:pPr>
        <w:autoSpaceDE w:val="0"/>
        <w:autoSpaceDN w:val="0"/>
        <w:adjustRightInd w:val="0"/>
        <w:snapToGrid w:val="0"/>
        <w:rPr>
          <w:rFonts w:ascii="Garamond" w:hAnsi="Garamond"/>
        </w:rPr>
      </w:pPr>
      <w:r>
        <w:rPr>
          <w:rFonts w:ascii="Garamond" w:hAnsi="Garamond"/>
        </w:rPr>
        <w:t>8</w:t>
      </w:r>
      <w:r>
        <w:rPr>
          <w:rFonts w:ascii="Garamond" w:hAnsi="Garamond"/>
        </w:rPr>
        <w:tab/>
      </w:r>
      <w:r w:rsidR="00C62AEE" w:rsidRPr="00F41C3B">
        <w:rPr>
          <w:rFonts w:ascii="Garamond" w:hAnsi="Garamond"/>
        </w:rPr>
        <w:t>Coincidentally a paper has recently been published by the New Zealand Treasury</w:t>
      </w:r>
      <w:r w:rsidR="00B47E9C" w:rsidRPr="00F41C3B">
        <w:rPr>
          <w:rFonts w:ascii="Garamond" w:hAnsi="Garamond"/>
        </w:rPr>
        <w:t xml:space="preserve"> which although not directly addressing the issue does contain relevant material</w:t>
      </w:r>
      <w:r w:rsidR="00B47E9C" w:rsidRPr="00F41C3B">
        <w:footnoteReference w:id="4"/>
      </w:r>
      <w:r w:rsidR="00B47E9C" w:rsidRPr="00F41C3B">
        <w:rPr>
          <w:rFonts w:ascii="Garamond" w:hAnsi="Garamond"/>
        </w:rPr>
        <w:t xml:space="preserve">.  The paper says </w:t>
      </w:r>
    </w:p>
    <w:p w:rsidR="00B47E9C" w:rsidRPr="00F41C3B" w:rsidRDefault="00B47E9C" w:rsidP="00B47E9C">
      <w:pPr>
        <w:pStyle w:val="NormalWeb"/>
        <w:spacing w:before="0" w:beforeAutospacing="0" w:after="0" w:afterAutospacing="0" w:line="216" w:lineRule="atLeast"/>
        <w:ind w:right="240"/>
        <w:rPr>
          <w:rFonts w:ascii="Garamond" w:hAnsi="Garamond"/>
        </w:rPr>
      </w:pPr>
    </w:p>
    <w:p w:rsidR="00B47E9C" w:rsidRPr="00F41C3B" w:rsidRDefault="00B47E9C" w:rsidP="000C489A">
      <w:pPr>
        <w:pStyle w:val="NormalWeb"/>
        <w:spacing w:before="0" w:beforeAutospacing="0" w:after="0" w:afterAutospacing="0" w:line="216" w:lineRule="atLeast"/>
        <w:ind w:left="720" w:right="240"/>
        <w:rPr>
          <w:rFonts w:ascii="Garamond" w:hAnsi="Garamond"/>
        </w:rPr>
      </w:pPr>
      <w:r w:rsidRPr="00F41C3B">
        <w:rPr>
          <w:rFonts w:ascii="Garamond" w:hAnsi="Garamond"/>
        </w:rPr>
        <w:t>A significant portion of New Zealand's trade is denominated in US dollars.  When this occurs, short-term movements in the NZD/USD exchange rate are likely to have a significant impact on New Zealand dollar export receipts.  However, in the medium term the exchange rate that actually matters is that between New Zealand and the regions that ultimately concern the traded goods.</w:t>
      </w:r>
      <w:r w:rsidRPr="00F41C3B">
        <w:rPr>
          <w:rStyle w:val="FootnoteReference"/>
          <w:rFonts w:ascii="Garamond" w:hAnsi="Garamond"/>
        </w:rPr>
        <w:footnoteReference w:id="5"/>
      </w:r>
    </w:p>
    <w:p w:rsidR="00B47E9C" w:rsidRPr="00F41C3B" w:rsidRDefault="00B47E9C" w:rsidP="00B47E9C">
      <w:pPr>
        <w:pStyle w:val="NormalWeb"/>
        <w:spacing w:before="0" w:beforeAutospacing="0" w:after="0" w:afterAutospacing="0" w:line="216" w:lineRule="atLeast"/>
        <w:ind w:right="240"/>
        <w:rPr>
          <w:rFonts w:ascii="Garamond" w:hAnsi="Garamond"/>
        </w:rPr>
      </w:pPr>
    </w:p>
    <w:p w:rsidR="00D652F4" w:rsidRPr="00F41C3B" w:rsidRDefault="00F41C3B" w:rsidP="00F41C3B">
      <w:pPr>
        <w:autoSpaceDE w:val="0"/>
        <w:autoSpaceDN w:val="0"/>
        <w:adjustRightInd w:val="0"/>
        <w:snapToGrid w:val="0"/>
        <w:rPr>
          <w:rFonts w:ascii="Garamond" w:hAnsi="Garamond"/>
        </w:rPr>
      </w:pPr>
      <w:r>
        <w:rPr>
          <w:rFonts w:ascii="Garamond" w:hAnsi="Garamond"/>
        </w:rPr>
        <w:t>9</w:t>
      </w:r>
      <w:r>
        <w:rPr>
          <w:rFonts w:ascii="Garamond" w:hAnsi="Garamond"/>
        </w:rPr>
        <w:tab/>
      </w:r>
      <w:r w:rsidR="00D652F4" w:rsidRPr="00F41C3B">
        <w:rPr>
          <w:rFonts w:ascii="Garamond" w:hAnsi="Garamond"/>
        </w:rPr>
        <w:t xml:space="preserve">This </w:t>
      </w:r>
      <w:r w:rsidR="00B47E9C" w:rsidRPr="00F41C3B">
        <w:rPr>
          <w:rFonts w:ascii="Garamond" w:hAnsi="Garamond"/>
        </w:rPr>
        <w:t>confirms the</w:t>
      </w:r>
      <w:r w:rsidR="00D652F4" w:rsidRPr="00F41C3B">
        <w:rPr>
          <w:rFonts w:ascii="Garamond" w:hAnsi="Garamond"/>
        </w:rPr>
        <w:t xml:space="preserve"> impact on New Zealand’s trade of short-term movements</w:t>
      </w:r>
      <w:r w:rsidR="00B47E9C" w:rsidRPr="00F41C3B">
        <w:rPr>
          <w:rFonts w:ascii="Garamond" w:hAnsi="Garamond"/>
        </w:rPr>
        <w:t xml:space="preserve">.  There is no reason to think the outcome would be any different </w:t>
      </w:r>
      <w:r w:rsidR="00F004B4" w:rsidRPr="00F41C3B">
        <w:rPr>
          <w:rFonts w:ascii="Garamond" w:hAnsi="Garamond"/>
        </w:rPr>
        <w:t>for</w:t>
      </w:r>
      <w:r w:rsidR="00B47E9C" w:rsidRPr="00F41C3B">
        <w:rPr>
          <w:rFonts w:ascii="Garamond" w:hAnsi="Garamond"/>
        </w:rPr>
        <w:t xml:space="preserve"> other APEC economies.</w:t>
      </w:r>
      <w:r w:rsidR="00D652F4" w:rsidRPr="00F41C3B">
        <w:rPr>
          <w:rFonts w:ascii="Garamond" w:hAnsi="Garamond"/>
        </w:rPr>
        <w:t xml:space="preserve">  Then it notes </w:t>
      </w:r>
      <w:r w:rsidR="00F004B4" w:rsidRPr="00F41C3B">
        <w:rPr>
          <w:rFonts w:ascii="Garamond" w:hAnsi="Garamond"/>
        </w:rPr>
        <w:t xml:space="preserve">that in the medium term short-term movements </w:t>
      </w:r>
      <w:r w:rsidR="00D652F4" w:rsidRPr="00F41C3B">
        <w:rPr>
          <w:rFonts w:ascii="Garamond" w:hAnsi="Garamond"/>
        </w:rPr>
        <w:t xml:space="preserve">in the NZD/USD exchange rate do not actually matter.  That may be so </w:t>
      </w:r>
      <w:r w:rsidR="008D4596" w:rsidRPr="00F41C3B">
        <w:rPr>
          <w:rFonts w:ascii="Garamond" w:hAnsi="Garamond"/>
        </w:rPr>
        <w:t>from an econometric</w:t>
      </w:r>
      <w:r w:rsidR="00D652F4" w:rsidRPr="00F41C3B">
        <w:rPr>
          <w:rFonts w:ascii="Garamond" w:hAnsi="Garamond"/>
        </w:rPr>
        <w:t xml:space="preserve"> view of what is important to </w:t>
      </w:r>
      <w:r w:rsidR="008D4596" w:rsidRPr="00F41C3B">
        <w:rPr>
          <w:rFonts w:ascii="Garamond" w:hAnsi="Garamond"/>
        </w:rPr>
        <w:t>monetary conditions</w:t>
      </w:r>
      <w:r w:rsidR="00D652F4" w:rsidRPr="00F41C3B">
        <w:rPr>
          <w:rFonts w:ascii="Garamond" w:hAnsi="Garamond"/>
        </w:rPr>
        <w:t xml:space="preserve"> but the medium term </w:t>
      </w:r>
      <w:r w:rsidR="008D4596" w:rsidRPr="00F41C3B">
        <w:rPr>
          <w:rFonts w:ascii="Garamond" w:hAnsi="Garamond"/>
        </w:rPr>
        <w:t>is not what is important to trader</w:t>
      </w:r>
      <w:r w:rsidR="00F004B4" w:rsidRPr="00F41C3B">
        <w:rPr>
          <w:rFonts w:ascii="Garamond" w:hAnsi="Garamond"/>
        </w:rPr>
        <w:t xml:space="preserve">s.  </w:t>
      </w:r>
      <w:r w:rsidR="00D652F4" w:rsidRPr="00F41C3B">
        <w:rPr>
          <w:rFonts w:ascii="Garamond" w:hAnsi="Garamond"/>
        </w:rPr>
        <w:t xml:space="preserve">Traders must </w:t>
      </w:r>
      <w:r w:rsidR="00D652F4" w:rsidRPr="00F41C3B">
        <w:rPr>
          <w:rFonts w:ascii="Garamond" w:hAnsi="Garamond"/>
        </w:rPr>
        <w:lastRenderedPageBreak/>
        <w:t xml:space="preserve">deal with the here and now where they must </w:t>
      </w:r>
      <w:r w:rsidR="00F004B4" w:rsidRPr="00F41C3B">
        <w:rPr>
          <w:rFonts w:ascii="Garamond" w:hAnsi="Garamond"/>
        </w:rPr>
        <w:t>try to live with short-term movements</w:t>
      </w:r>
      <w:r w:rsidR="00D652F4" w:rsidRPr="00F41C3B">
        <w:rPr>
          <w:rFonts w:ascii="Garamond" w:hAnsi="Garamond"/>
        </w:rPr>
        <w:t>, incurring the risks and costs associated with this volatility</w:t>
      </w:r>
      <w:r w:rsidR="00F004B4" w:rsidRPr="00F41C3B">
        <w:rPr>
          <w:rFonts w:ascii="Garamond" w:hAnsi="Garamond"/>
        </w:rPr>
        <w:t>.  If volatility can be smoothed trading conditions become easier</w:t>
      </w:r>
      <w:r w:rsidR="00D652F4" w:rsidRPr="00F41C3B">
        <w:rPr>
          <w:rFonts w:ascii="Garamond" w:hAnsi="Garamond"/>
        </w:rPr>
        <w:t>.</w:t>
      </w:r>
    </w:p>
    <w:p w:rsidR="00D652F4" w:rsidRPr="00F41C3B" w:rsidRDefault="00D652F4" w:rsidP="00810837">
      <w:pPr>
        <w:pStyle w:val="NormalWeb"/>
        <w:spacing w:before="0" w:beforeAutospacing="0" w:after="0" w:afterAutospacing="0" w:line="216" w:lineRule="atLeast"/>
        <w:ind w:right="240"/>
        <w:rPr>
          <w:rFonts w:ascii="Garamond" w:hAnsi="Garamond"/>
        </w:rPr>
      </w:pPr>
    </w:p>
    <w:p w:rsidR="00810837" w:rsidRPr="00F41C3B" w:rsidRDefault="00F41C3B" w:rsidP="00F41C3B">
      <w:pPr>
        <w:autoSpaceDE w:val="0"/>
        <w:autoSpaceDN w:val="0"/>
        <w:adjustRightInd w:val="0"/>
        <w:snapToGrid w:val="0"/>
        <w:rPr>
          <w:rFonts w:ascii="Garamond" w:hAnsi="Garamond"/>
        </w:rPr>
      </w:pPr>
      <w:r>
        <w:rPr>
          <w:rFonts w:ascii="Garamond" w:hAnsi="Garamond"/>
        </w:rPr>
        <w:t>10</w:t>
      </w:r>
      <w:r>
        <w:rPr>
          <w:rFonts w:ascii="Garamond" w:hAnsi="Garamond"/>
        </w:rPr>
        <w:tab/>
      </w:r>
      <w:r w:rsidR="00D652F4" w:rsidRPr="00F41C3B">
        <w:rPr>
          <w:rFonts w:ascii="Garamond" w:hAnsi="Garamond"/>
        </w:rPr>
        <w:t>It is common experience that diversification</w:t>
      </w:r>
      <w:r w:rsidR="001C45BF" w:rsidRPr="00F41C3B">
        <w:rPr>
          <w:rFonts w:ascii="Garamond" w:hAnsi="Garamond"/>
        </w:rPr>
        <w:t xml:space="preserve"> reduces volatility.  There is no reason to think that currency diversification would be any different.  But it could be </w:t>
      </w:r>
      <w:proofErr w:type="gramStart"/>
      <w:r w:rsidR="001C45BF" w:rsidRPr="00F41C3B">
        <w:rPr>
          <w:rFonts w:ascii="Garamond" w:hAnsi="Garamond"/>
        </w:rPr>
        <w:t xml:space="preserve">tested </w:t>
      </w:r>
      <w:r w:rsidR="00810837" w:rsidRPr="00F41C3B">
        <w:rPr>
          <w:rFonts w:ascii="Garamond" w:hAnsi="Garamond"/>
        </w:rPr>
        <w:t xml:space="preserve"> by</w:t>
      </w:r>
      <w:proofErr w:type="gramEnd"/>
      <w:r w:rsidR="00810837" w:rsidRPr="00F41C3B">
        <w:rPr>
          <w:rFonts w:ascii="Garamond" w:hAnsi="Garamond"/>
        </w:rPr>
        <w:t xml:space="preserve"> constructing a model of how the APECCU  would have behaved over an historical period and comparing it with the NZD/USD exchange rate during the same period.  ABAC New Zealand may need to consider asking the New Zealand Treasury to undertake that exercise.</w:t>
      </w:r>
    </w:p>
    <w:p w:rsidR="00B75BCF" w:rsidRPr="00F41C3B" w:rsidRDefault="00B75BCF" w:rsidP="00B75BCF">
      <w:pPr>
        <w:autoSpaceDE w:val="0"/>
        <w:autoSpaceDN w:val="0"/>
        <w:adjustRightInd w:val="0"/>
        <w:snapToGrid w:val="0"/>
        <w:rPr>
          <w:rFonts w:ascii="Garamond" w:hAnsi="Garamond"/>
        </w:rPr>
      </w:pPr>
    </w:p>
    <w:p w:rsidR="00810837" w:rsidRPr="00F41C3B" w:rsidRDefault="00810837" w:rsidP="00887E32">
      <w:pPr>
        <w:autoSpaceDE w:val="0"/>
        <w:autoSpaceDN w:val="0"/>
        <w:adjustRightInd w:val="0"/>
        <w:snapToGrid w:val="0"/>
        <w:ind w:firstLine="720"/>
        <w:rPr>
          <w:rFonts w:ascii="Garamond" w:hAnsi="Garamond"/>
          <w:b/>
        </w:rPr>
      </w:pPr>
      <w:r w:rsidRPr="00F41C3B">
        <w:rPr>
          <w:rFonts w:ascii="Garamond" w:hAnsi="Garamond"/>
          <w:b/>
        </w:rPr>
        <w:t>Attempting to reduce volatility could have undesirable consequences</w:t>
      </w:r>
    </w:p>
    <w:p w:rsidR="00887E32" w:rsidRPr="00F41C3B" w:rsidRDefault="00F41C3B" w:rsidP="00F41C3B">
      <w:pPr>
        <w:autoSpaceDE w:val="0"/>
        <w:autoSpaceDN w:val="0"/>
        <w:adjustRightInd w:val="0"/>
        <w:snapToGrid w:val="0"/>
        <w:rPr>
          <w:rFonts w:ascii="Garamond" w:hAnsi="Garamond"/>
        </w:rPr>
      </w:pPr>
      <w:r>
        <w:rPr>
          <w:rFonts w:ascii="Garamond" w:hAnsi="Garamond"/>
        </w:rPr>
        <w:t xml:space="preserve">11 </w:t>
      </w:r>
      <w:r>
        <w:rPr>
          <w:rFonts w:ascii="Garamond" w:hAnsi="Garamond"/>
        </w:rPr>
        <w:tab/>
      </w:r>
      <w:r w:rsidR="00887E32" w:rsidRPr="00F41C3B">
        <w:rPr>
          <w:rFonts w:ascii="Garamond" w:hAnsi="Garamond"/>
        </w:rPr>
        <w:t>The question was asked whether it was desirable to try to stamp out volatility.  The answer is that volatility may be an unavoidable consequence of economic conditions in a particular economy</w:t>
      </w:r>
      <w:r w:rsidR="007B39B4" w:rsidRPr="00F41C3B">
        <w:rPr>
          <w:rFonts w:ascii="Garamond" w:hAnsi="Garamond"/>
        </w:rPr>
        <w:t xml:space="preserve"> and it may be undesirable to try to prevent exchange rate adjustments.  A</w:t>
      </w:r>
      <w:r w:rsidR="00810837" w:rsidRPr="00F41C3B">
        <w:rPr>
          <w:rFonts w:ascii="Garamond" w:hAnsi="Garamond"/>
        </w:rPr>
        <w:t xml:space="preserve"> fixed exchange rate makes exchange-rate movements unavailable as an adjustment mechanism responding to economic conditions arising within a particular economy.  Recent experience with the euro highlights potential difficulties arising from a single currency.  For example, Germany benefits from weakness in other Eurozone economies tending to keep the euro low</w:t>
      </w:r>
      <w:r w:rsidR="00887E32" w:rsidRPr="00F41C3B">
        <w:rPr>
          <w:rFonts w:ascii="Garamond" w:hAnsi="Garamond"/>
        </w:rPr>
        <w:t xml:space="preserve"> giving Germany a competitive advantage in export markets.  Conversely weaker economies such as Ireland which would benefit from a lower exchange rate are deprived of that possibility.</w:t>
      </w:r>
    </w:p>
    <w:p w:rsidR="00887E32" w:rsidRPr="00F41C3B" w:rsidRDefault="00887E32" w:rsidP="007B39B4">
      <w:pPr>
        <w:autoSpaceDE w:val="0"/>
        <w:autoSpaceDN w:val="0"/>
        <w:adjustRightInd w:val="0"/>
        <w:snapToGrid w:val="0"/>
        <w:rPr>
          <w:rFonts w:ascii="Garamond" w:hAnsi="Garamond"/>
        </w:rPr>
      </w:pPr>
    </w:p>
    <w:p w:rsidR="00AA3FD2" w:rsidRPr="00F41C3B" w:rsidRDefault="00F41C3B" w:rsidP="00F41C3B">
      <w:pPr>
        <w:autoSpaceDE w:val="0"/>
        <w:autoSpaceDN w:val="0"/>
        <w:adjustRightInd w:val="0"/>
        <w:snapToGrid w:val="0"/>
        <w:rPr>
          <w:rFonts w:ascii="Garamond" w:hAnsi="Garamond"/>
        </w:rPr>
      </w:pPr>
      <w:r>
        <w:rPr>
          <w:rFonts w:ascii="Garamond" w:hAnsi="Garamond"/>
        </w:rPr>
        <w:t>12</w:t>
      </w:r>
      <w:r>
        <w:rPr>
          <w:rFonts w:ascii="Garamond" w:hAnsi="Garamond"/>
        </w:rPr>
        <w:tab/>
      </w:r>
      <w:r w:rsidR="00AA3FD2" w:rsidRPr="00F41C3B">
        <w:rPr>
          <w:rFonts w:ascii="Garamond" w:hAnsi="Garamond"/>
        </w:rPr>
        <w:t>T</w:t>
      </w:r>
      <w:r w:rsidR="007B39B4" w:rsidRPr="00F41C3B">
        <w:rPr>
          <w:rFonts w:ascii="Garamond" w:hAnsi="Garamond"/>
        </w:rPr>
        <w:t xml:space="preserve">he APECCU proposal would not have that </w:t>
      </w:r>
      <w:r w:rsidR="00AA3FD2" w:rsidRPr="00F41C3B">
        <w:rPr>
          <w:rFonts w:ascii="Garamond" w:hAnsi="Garamond"/>
        </w:rPr>
        <w:t xml:space="preserve">undesirable </w:t>
      </w:r>
      <w:r w:rsidR="007B39B4" w:rsidRPr="00F41C3B">
        <w:rPr>
          <w:rFonts w:ascii="Garamond" w:hAnsi="Garamond"/>
        </w:rPr>
        <w:t>effect for the reasons explained in paragraph 39 of the</w:t>
      </w:r>
      <w:r w:rsidR="00AA3FD2" w:rsidRPr="00F41C3B">
        <w:rPr>
          <w:rFonts w:ascii="Garamond" w:hAnsi="Garamond"/>
        </w:rPr>
        <w:t xml:space="preserve"> Yokohama </w:t>
      </w:r>
      <w:r w:rsidR="007B39B4" w:rsidRPr="00F41C3B">
        <w:rPr>
          <w:rFonts w:ascii="Garamond" w:hAnsi="Garamond"/>
        </w:rPr>
        <w:t>paper.  In short, it is not part of the APECCU proposal for there to be a single currency for the APEC region.</w:t>
      </w:r>
      <w:r w:rsidR="00AA3FD2" w:rsidRPr="00F41C3B">
        <w:rPr>
          <w:rFonts w:ascii="Garamond" w:hAnsi="Garamond"/>
        </w:rPr>
        <w:t xml:space="preserve"> The APECCU would not replace domestic currencies – it would not be a single currency for the region like the Euro is for the Eurozone economies.  Economies would not be prevented from having exchange rate arrangements considered to be necessary or desirable for their own economies' monetary or other economic conditions.  Their domestic currencies would adjust against the APECCU (and against other currencies) according to the arrangements they have in place.</w:t>
      </w:r>
    </w:p>
    <w:p w:rsidR="00AA3FD2" w:rsidRPr="00F41C3B" w:rsidRDefault="00AA3FD2" w:rsidP="00AA3FD2">
      <w:pPr>
        <w:autoSpaceDE w:val="0"/>
        <w:autoSpaceDN w:val="0"/>
        <w:adjustRightInd w:val="0"/>
        <w:snapToGrid w:val="0"/>
        <w:rPr>
          <w:rFonts w:ascii="Garamond" w:hAnsi="Garamond"/>
        </w:rPr>
      </w:pPr>
    </w:p>
    <w:p w:rsidR="00AA3FD2" w:rsidRPr="00F41C3B" w:rsidRDefault="00AA3FD2" w:rsidP="00AA3FD2">
      <w:pPr>
        <w:autoSpaceDE w:val="0"/>
        <w:autoSpaceDN w:val="0"/>
        <w:adjustRightInd w:val="0"/>
        <w:snapToGrid w:val="0"/>
        <w:ind w:firstLine="720"/>
        <w:rPr>
          <w:rFonts w:ascii="Garamond" w:hAnsi="Garamond"/>
          <w:b/>
        </w:rPr>
      </w:pPr>
      <w:r w:rsidRPr="00F41C3B">
        <w:rPr>
          <w:rFonts w:ascii="Garamond" w:hAnsi="Garamond"/>
          <w:b/>
        </w:rPr>
        <w:t>Should it be left to the G 20?</w:t>
      </w:r>
    </w:p>
    <w:p w:rsidR="00AA3FD2" w:rsidRPr="00F41C3B" w:rsidRDefault="00F41C3B" w:rsidP="00F41C3B">
      <w:pPr>
        <w:autoSpaceDE w:val="0"/>
        <w:autoSpaceDN w:val="0"/>
        <w:adjustRightInd w:val="0"/>
        <w:snapToGrid w:val="0"/>
        <w:rPr>
          <w:rFonts w:ascii="Garamond" w:hAnsi="Garamond"/>
        </w:rPr>
      </w:pPr>
      <w:r>
        <w:rPr>
          <w:rFonts w:ascii="Garamond" w:hAnsi="Garamond"/>
        </w:rPr>
        <w:t>13</w:t>
      </w:r>
      <w:r>
        <w:rPr>
          <w:rFonts w:ascii="Garamond" w:hAnsi="Garamond"/>
        </w:rPr>
        <w:tab/>
      </w:r>
      <w:r w:rsidR="00AA3FD2" w:rsidRPr="00F41C3B">
        <w:rPr>
          <w:rFonts w:ascii="Garamond" w:hAnsi="Garamond"/>
        </w:rPr>
        <w:t>This question was addressed to some extent in the Yokohama paper.  See paragraphs 24-26, supplemented by paragraphs 27 and 28.</w:t>
      </w:r>
    </w:p>
    <w:p w:rsidR="00AA3FD2" w:rsidRPr="00F41C3B" w:rsidRDefault="00AA3FD2" w:rsidP="00F2187B">
      <w:pPr>
        <w:autoSpaceDE w:val="0"/>
        <w:autoSpaceDN w:val="0"/>
        <w:adjustRightInd w:val="0"/>
        <w:snapToGrid w:val="0"/>
        <w:rPr>
          <w:rFonts w:ascii="Garamond" w:hAnsi="Garamond"/>
        </w:rPr>
      </w:pPr>
    </w:p>
    <w:p w:rsidR="00F2187B" w:rsidRPr="00F41C3B" w:rsidRDefault="00F41C3B" w:rsidP="00F41C3B">
      <w:pPr>
        <w:autoSpaceDE w:val="0"/>
        <w:autoSpaceDN w:val="0"/>
        <w:adjustRightInd w:val="0"/>
        <w:snapToGrid w:val="0"/>
        <w:rPr>
          <w:rFonts w:ascii="Garamond" w:hAnsi="Garamond"/>
        </w:rPr>
      </w:pPr>
      <w:r>
        <w:rPr>
          <w:rFonts w:ascii="Garamond" w:hAnsi="Garamond"/>
        </w:rPr>
        <w:t>14</w:t>
      </w:r>
      <w:r>
        <w:rPr>
          <w:rFonts w:ascii="Garamond" w:hAnsi="Garamond"/>
        </w:rPr>
        <w:tab/>
      </w:r>
      <w:r w:rsidR="008F5881" w:rsidRPr="00F41C3B">
        <w:rPr>
          <w:rFonts w:ascii="Garamond" w:hAnsi="Garamond"/>
        </w:rPr>
        <w:t>The G 20 in Seoul did not advance any concrete proposals.  Indications are that with France in the chair international monetary reform may be promoted through the G 20 during 2011.  However, it is by no means clear that the sort of monetary reform which France has in mind</w:t>
      </w:r>
      <w:r w:rsidR="00B75BCF" w:rsidRPr="00F41C3B">
        <w:rPr>
          <w:rFonts w:ascii="Garamond" w:hAnsi="Garamond"/>
        </w:rPr>
        <w:t xml:space="preserve"> is</w:t>
      </w:r>
      <w:r w:rsidR="008F5881" w:rsidRPr="00F41C3B">
        <w:rPr>
          <w:rFonts w:ascii="Garamond" w:hAnsi="Garamond"/>
        </w:rPr>
        <w:t xml:space="preserve"> reform which would be supported by ABAC.  Indications are that it may well be </w:t>
      </w:r>
      <w:r w:rsidR="00F2187B" w:rsidRPr="00F41C3B">
        <w:rPr>
          <w:rFonts w:ascii="Garamond" w:hAnsi="Garamond"/>
        </w:rPr>
        <w:t xml:space="preserve">a heavily regulated approach and actually inimical to free and open trade, including regulations in relation to food prices.  </w:t>
      </w:r>
    </w:p>
    <w:p w:rsidR="00F2187B" w:rsidRPr="00F41C3B" w:rsidRDefault="00F2187B" w:rsidP="00445CDA">
      <w:pPr>
        <w:autoSpaceDE w:val="0"/>
        <w:autoSpaceDN w:val="0"/>
        <w:adjustRightInd w:val="0"/>
        <w:snapToGrid w:val="0"/>
        <w:rPr>
          <w:rFonts w:ascii="Garamond" w:hAnsi="Garamond"/>
        </w:rPr>
      </w:pPr>
    </w:p>
    <w:p w:rsidR="00F2187B" w:rsidRPr="00F41C3B" w:rsidRDefault="00F41C3B" w:rsidP="00F41C3B">
      <w:pPr>
        <w:autoSpaceDE w:val="0"/>
        <w:autoSpaceDN w:val="0"/>
        <w:adjustRightInd w:val="0"/>
        <w:snapToGrid w:val="0"/>
        <w:rPr>
          <w:rFonts w:ascii="Garamond" w:hAnsi="Garamond"/>
        </w:rPr>
      </w:pPr>
      <w:r>
        <w:rPr>
          <w:rFonts w:ascii="Garamond" w:hAnsi="Garamond"/>
        </w:rPr>
        <w:t>15</w:t>
      </w:r>
      <w:r>
        <w:rPr>
          <w:rFonts w:ascii="Garamond" w:hAnsi="Garamond"/>
        </w:rPr>
        <w:tab/>
      </w:r>
      <w:r w:rsidR="00F2187B" w:rsidRPr="00F41C3B">
        <w:rPr>
          <w:rFonts w:ascii="Garamond" w:hAnsi="Garamond"/>
        </w:rPr>
        <w:t>Although the APECCU proposal would not prevent individual economies deciding their own exchange rate policies vis-a-vis the APECCU as well as other currencies, the APECCU proposal is market-driven.  It seeks to facilitate free and open trade, not to regulate it.</w:t>
      </w:r>
    </w:p>
    <w:p w:rsidR="00F2187B" w:rsidRPr="00F41C3B" w:rsidRDefault="00F2187B" w:rsidP="00445CDA">
      <w:pPr>
        <w:autoSpaceDE w:val="0"/>
        <w:autoSpaceDN w:val="0"/>
        <w:adjustRightInd w:val="0"/>
        <w:snapToGrid w:val="0"/>
        <w:rPr>
          <w:rFonts w:ascii="Garamond" w:hAnsi="Garamond"/>
        </w:rPr>
      </w:pPr>
    </w:p>
    <w:p w:rsidR="00F2187B" w:rsidRPr="00F41C3B" w:rsidRDefault="00F41C3B" w:rsidP="00F41C3B">
      <w:pPr>
        <w:autoSpaceDE w:val="0"/>
        <w:autoSpaceDN w:val="0"/>
        <w:adjustRightInd w:val="0"/>
        <w:snapToGrid w:val="0"/>
        <w:rPr>
          <w:rFonts w:ascii="Garamond" w:hAnsi="Garamond"/>
        </w:rPr>
      </w:pPr>
      <w:r>
        <w:rPr>
          <w:rFonts w:ascii="Garamond" w:hAnsi="Garamond"/>
        </w:rPr>
        <w:lastRenderedPageBreak/>
        <w:t>16</w:t>
      </w:r>
      <w:r>
        <w:rPr>
          <w:rFonts w:ascii="Garamond" w:hAnsi="Garamond"/>
        </w:rPr>
        <w:tab/>
      </w:r>
      <w:r w:rsidR="00F2187B" w:rsidRPr="00F41C3B">
        <w:rPr>
          <w:rFonts w:ascii="Garamond" w:hAnsi="Garamond"/>
        </w:rPr>
        <w:t>We cannot tell how G 20 proposals may develop.  They may not develop at all or they may develop in ways which ABAC would not support.  It is accordingly suggested that ABAC continue trying to develop the APECCU proposal whilst carefully monitoring proposals emerging from France and elsewhere.</w:t>
      </w:r>
      <w:r w:rsidR="00445CDA" w:rsidRPr="00F41C3B">
        <w:rPr>
          <w:rFonts w:ascii="Garamond" w:hAnsi="Garamond"/>
        </w:rPr>
        <w:t xml:space="preserve">  For reasons explained in paragraphs 28-37 of the Yokohama paper, APEC may have a unique opportunity to advance something which could be of crucial importance in promoting regional economic integration.  That makes this a proposal which, although it should be advanced carefully, should nevertheless be taken further.</w:t>
      </w:r>
    </w:p>
    <w:p w:rsidR="00F2187B" w:rsidRPr="00F41C3B" w:rsidRDefault="00F2187B" w:rsidP="00920F10">
      <w:pPr>
        <w:autoSpaceDE w:val="0"/>
        <w:autoSpaceDN w:val="0"/>
        <w:adjustRightInd w:val="0"/>
        <w:snapToGrid w:val="0"/>
        <w:rPr>
          <w:rFonts w:ascii="Garamond" w:hAnsi="Garamond"/>
        </w:rPr>
      </w:pPr>
    </w:p>
    <w:p w:rsidR="00445CDA" w:rsidRPr="00F41C3B" w:rsidRDefault="00445CDA" w:rsidP="00445CDA">
      <w:pPr>
        <w:autoSpaceDE w:val="0"/>
        <w:autoSpaceDN w:val="0"/>
        <w:adjustRightInd w:val="0"/>
        <w:snapToGrid w:val="0"/>
        <w:rPr>
          <w:rFonts w:ascii="Garamond" w:hAnsi="Garamond"/>
          <w:b/>
        </w:rPr>
      </w:pPr>
      <w:r w:rsidRPr="00F41C3B">
        <w:rPr>
          <w:rFonts w:ascii="Garamond" w:hAnsi="Garamond"/>
          <w:b/>
        </w:rPr>
        <w:t>A similar proposal</w:t>
      </w:r>
    </w:p>
    <w:p w:rsidR="00445CDA" w:rsidRPr="00F41C3B" w:rsidRDefault="00445CDA" w:rsidP="00920F10">
      <w:pPr>
        <w:autoSpaceDE w:val="0"/>
        <w:autoSpaceDN w:val="0"/>
        <w:adjustRightInd w:val="0"/>
        <w:snapToGrid w:val="0"/>
        <w:rPr>
          <w:rFonts w:ascii="Garamond" w:hAnsi="Garamond"/>
        </w:rPr>
      </w:pPr>
    </w:p>
    <w:p w:rsidR="00920F10" w:rsidRPr="00F41C3B" w:rsidRDefault="00F41C3B" w:rsidP="00F41C3B">
      <w:pPr>
        <w:autoSpaceDE w:val="0"/>
        <w:autoSpaceDN w:val="0"/>
        <w:adjustRightInd w:val="0"/>
        <w:snapToGrid w:val="0"/>
        <w:rPr>
          <w:rFonts w:ascii="Garamond" w:hAnsi="Garamond"/>
        </w:rPr>
      </w:pPr>
      <w:r>
        <w:rPr>
          <w:rFonts w:ascii="Garamond" w:hAnsi="Garamond"/>
        </w:rPr>
        <w:t>17</w:t>
      </w:r>
      <w:r>
        <w:rPr>
          <w:rFonts w:ascii="Garamond" w:hAnsi="Garamond"/>
        </w:rPr>
        <w:tab/>
      </w:r>
      <w:r w:rsidR="00445CDA" w:rsidRPr="00F41C3B">
        <w:rPr>
          <w:rFonts w:ascii="Garamond" w:hAnsi="Garamond"/>
        </w:rPr>
        <w:t>In Fostering Monetary &amp; Financial Cooperation in East Asia, edited by Duck-Koo Chung</w:t>
      </w:r>
      <w:r w:rsidR="00F16496" w:rsidRPr="00F41C3B">
        <w:rPr>
          <w:rFonts w:ascii="Garamond" w:hAnsi="Garamond"/>
        </w:rPr>
        <w:t xml:space="preserve"> and Barry Eichengreen, numerous aspects relevant to the issue are considered.  Of specific relevance to the APECCU proposal is Chapter 2 by Barry Eichengreen "Fostering Monetary and </w:t>
      </w:r>
      <w:r w:rsidR="00920F10" w:rsidRPr="00F41C3B">
        <w:rPr>
          <w:rFonts w:ascii="Garamond" w:hAnsi="Garamond"/>
        </w:rPr>
        <w:t>Exchange-Rate Cooperation</w:t>
      </w:r>
      <w:r w:rsidR="00F16496" w:rsidRPr="00F41C3B">
        <w:rPr>
          <w:rFonts w:ascii="Garamond" w:hAnsi="Garamond"/>
        </w:rPr>
        <w:t xml:space="preserve"> in East Asia" which discusses the creation of a "parallel regional currency".</w:t>
      </w:r>
      <w:r w:rsidR="00920F10" w:rsidRPr="00F41C3B">
        <w:rPr>
          <w:rFonts w:ascii="Garamond" w:hAnsi="Garamond"/>
        </w:rPr>
        <w:t xml:space="preserve">  Eichengreen says this idea </w:t>
      </w:r>
      <w:r w:rsidR="00F16496" w:rsidRPr="00F41C3B">
        <w:rPr>
          <w:rFonts w:ascii="Garamond" w:hAnsi="Garamond"/>
        </w:rPr>
        <w:t>has been pushed by the Asian Development Bank and its president, Haruhiko Kuroda.  "As described by Kuroda (2006), the</w:t>
      </w:r>
      <w:r w:rsidR="00920F10" w:rsidRPr="00F41C3B">
        <w:rPr>
          <w:rFonts w:ascii="Garamond" w:hAnsi="Garamond"/>
        </w:rPr>
        <w:t xml:space="preserve"> Asian Currency Unit (ACU), defined as a weighted average of the 13 ASEAN +3 currencies, might start as a convenient summary indicator of the strength of Asian currencies vis-a-vis those of the rest of the world.  But it also could be a convenient unit in which to denominate bonds for Asian investors seeking currency diversification and for issuers wishing to hedge the currency risk of receivables denominated in regional currencies.  The ADB and other official institutions could jump-start the market in the instrument by issuing their own ACU-denominated bonds."</w:t>
      </w:r>
      <w:r w:rsidR="00920F10" w:rsidRPr="00F41C3B">
        <w:footnoteReference w:id="6"/>
      </w:r>
    </w:p>
    <w:p w:rsidR="00920F10" w:rsidRPr="00F41C3B" w:rsidRDefault="00920F10" w:rsidP="00920F10">
      <w:pPr>
        <w:autoSpaceDE w:val="0"/>
        <w:autoSpaceDN w:val="0"/>
        <w:adjustRightInd w:val="0"/>
        <w:snapToGrid w:val="0"/>
        <w:rPr>
          <w:rFonts w:ascii="Garamond" w:hAnsi="Garamond"/>
        </w:rPr>
      </w:pPr>
    </w:p>
    <w:p w:rsidR="00920F10" w:rsidRPr="00F41C3B" w:rsidRDefault="00F41C3B" w:rsidP="00F41C3B">
      <w:pPr>
        <w:autoSpaceDE w:val="0"/>
        <w:autoSpaceDN w:val="0"/>
        <w:adjustRightInd w:val="0"/>
        <w:snapToGrid w:val="0"/>
        <w:rPr>
          <w:rFonts w:ascii="Garamond" w:hAnsi="Garamond"/>
        </w:rPr>
      </w:pPr>
      <w:r>
        <w:rPr>
          <w:rFonts w:ascii="Garamond" w:hAnsi="Garamond"/>
        </w:rPr>
        <w:t>18</w:t>
      </w:r>
      <w:r>
        <w:rPr>
          <w:rFonts w:ascii="Garamond" w:hAnsi="Garamond"/>
        </w:rPr>
        <w:tab/>
      </w:r>
      <w:r w:rsidR="00920F10" w:rsidRPr="00F41C3B">
        <w:rPr>
          <w:rFonts w:ascii="Garamond" w:hAnsi="Garamond"/>
        </w:rPr>
        <w:t>In his conclusion, he says "A parallel regional currency provides a stable unit for intra-regional trade and investment….  But the parallel-currency approach is unproven.  There are few historical examples of synthetic, basket-based parallel currencies that have gained significant market share.  And the fact that the market in the parallel currency will start out small and that liquidity will be limited will mean significant transaction costs for those using it in intra-regional trade and investment."</w:t>
      </w:r>
      <w:r w:rsidR="00920F10" w:rsidRPr="00F41C3B">
        <w:footnoteReference w:id="7"/>
      </w:r>
    </w:p>
    <w:p w:rsidR="00920F10" w:rsidRPr="00F41C3B" w:rsidRDefault="00920F10" w:rsidP="003245C7">
      <w:pPr>
        <w:autoSpaceDE w:val="0"/>
        <w:autoSpaceDN w:val="0"/>
        <w:adjustRightInd w:val="0"/>
        <w:snapToGrid w:val="0"/>
        <w:rPr>
          <w:rFonts w:ascii="Garamond" w:hAnsi="Garamond"/>
        </w:rPr>
      </w:pPr>
    </w:p>
    <w:p w:rsidR="008A3088" w:rsidRPr="00F41C3B" w:rsidRDefault="00F41C3B" w:rsidP="00F41C3B">
      <w:pPr>
        <w:autoSpaceDE w:val="0"/>
        <w:autoSpaceDN w:val="0"/>
        <w:adjustRightInd w:val="0"/>
        <w:snapToGrid w:val="0"/>
        <w:rPr>
          <w:rFonts w:ascii="Garamond" w:hAnsi="Garamond"/>
        </w:rPr>
      </w:pPr>
      <w:r>
        <w:rPr>
          <w:rFonts w:ascii="Garamond" w:hAnsi="Garamond"/>
        </w:rPr>
        <w:t>19</w:t>
      </w:r>
      <w:r>
        <w:rPr>
          <w:rFonts w:ascii="Garamond" w:hAnsi="Garamond"/>
        </w:rPr>
        <w:tab/>
      </w:r>
      <w:r w:rsidR="003245C7" w:rsidRPr="00F41C3B">
        <w:rPr>
          <w:rFonts w:ascii="Garamond" w:hAnsi="Garamond"/>
        </w:rPr>
        <w:t xml:space="preserve">The APECCU proposal is a proposal for a parallel regional currency, but a currency created within the institution of APEC and for the economies within APEC and, most importantly, including the US.  For these reasons the opportunity exists to avoid or overcome the problems </w:t>
      </w:r>
      <w:r w:rsidR="003438A6" w:rsidRPr="00F41C3B">
        <w:rPr>
          <w:rFonts w:ascii="Garamond" w:hAnsi="Garamond"/>
        </w:rPr>
        <w:t>Eichengreen describes.</w:t>
      </w:r>
    </w:p>
    <w:p w:rsidR="00F41C3B" w:rsidRDefault="00F41C3B" w:rsidP="00F72D89">
      <w:pPr>
        <w:pStyle w:val="NormalWeb"/>
        <w:spacing w:before="0" w:beforeAutospacing="0" w:after="0" w:afterAutospacing="0" w:line="216" w:lineRule="atLeast"/>
        <w:ind w:right="240" w:hanging="720"/>
        <w:rPr>
          <w:rFonts w:ascii="Garamond" w:hAnsi="Garamond"/>
        </w:rPr>
      </w:pPr>
    </w:p>
    <w:p w:rsidR="00F41C3B" w:rsidRPr="00F41C3B" w:rsidRDefault="00F41C3B" w:rsidP="00F72D89">
      <w:pPr>
        <w:pStyle w:val="NormalWeb"/>
        <w:spacing w:before="0" w:beforeAutospacing="0" w:after="0" w:afterAutospacing="0" w:line="216" w:lineRule="atLeast"/>
        <w:ind w:right="240" w:hanging="720"/>
        <w:rPr>
          <w:rFonts w:ascii="Garamond" w:hAnsi="Garamond"/>
        </w:rPr>
      </w:pPr>
    </w:p>
    <w:p w:rsidR="008A3088" w:rsidRPr="00F41C3B" w:rsidRDefault="008A3088" w:rsidP="003438A6">
      <w:pPr>
        <w:pStyle w:val="NormalWeb"/>
        <w:spacing w:before="0" w:beforeAutospacing="0" w:after="0" w:afterAutospacing="0" w:line="216" w:lineRule="atLeast"/>
        <w:ind w:right="240"/>
        <w:rPr>
          <w:rFonts w:ascii="Garamond" w:hAnsi="Garamond"/>
          <w:b/>
        </w:rPr>
      </w:pPr>
      <w:r w:rsidRPr="00F41C3B">
        <w:rPr>
          <w:rFonts w:ascii="Garamond" w:hAnsi="Garamond"/>
          <w:b/>
        </w:rPr>
        <w:t>Conclusion</w:t>
      </w:r>
    </w:p>
    <w:p w:rsidR="008A3088" w:rsidRPr="00F41C3B" w:rsidRDefault="008A3088" w:rsidP="00F72D89">
      <w:pPr>
        <w:pStyle w:val="NormalWeb"/>
        <w:spacing w:before="0" w:beforeAutospacing="0" w:after="0" w:afterAutospacing="0" w:line="216" w:lineRule="atLeast"/>
        <w:ind w:right="240" w:hanging="720"/>
        <w:rPr>
          <w:rFonts w:ascii="Garamond" w:hAnsi="Garamond"/>
        </w:rPr>
      </w:pPr>
    </w:p>
    <w:p w:rsidR="003438A6" w:rsidRDefault="00F41C3B" w:rsidP="00F41C3B">
      <w:pPr>
        <w:autoSpaceDE w:val="0"/>
        <w:autoSpaceDN w:val="0"/>
        <w:adjustRightInd w:val="0"/>
        <w:snapToGrid w:val="0"/>
        <w:rPr>
          <w:rFonts w:ascii="Garamond" w:hAnsi="Garamond"/>
        </w:rPr>
      </w:pPr>
      <w:r>
        <w:rPr>
          <w:rFonts w:ascii="Garamond" w:hAnsi="Garamond"/>
        </w:rPr>
        <w:t>20</w:t>
      </w:r>
      <w:r>
        <w:rPr>
          <w:rFonts w:ascii="Garamond" w:hAnsi="Garamond"/>
        </w:rPr>
        <w:tab/>
      </w:r>
      <w:r w:rsidR="003438A6" w:rsidRPr="00F41C3B">
        <w:rPr>
          <w:rFonts w:ascii="Garamond" w:hAnsi="Garamond"/>
        </w:rPr>
        <w:t xml:space="preserve">ABAC should consider the issue in greater depth with a view to deciding at the third 2011 meeting whether to advance a proposal to Leaders.  </w:t>
      </w:r>
    </w:p>
    <w:p w:rsidR="001A6651" w:rsidRPr="00F41C3B" w:rsidRDefault="001A6651" w:rsidP="00F41C3B">
      <w:pPr>
        <w:autoSpaceDE w:val="0"/>
        <w:autoSpaceDN w:val="0"/>
        <w:adjustRightInd w:val="0"/>
        <w:snapToGrid w:val="0"/>
        <w:rPr>
          <w:rFonts w:ascii="Garamond" w:hAnsi="Garamond"/>
        </w:rPr>
      </w:pPr>
    </w:p>
    <w:p w:rsidR="00AD6CFA" w:rsidRPr="00F41C3B" w:rsidRDefault="00F41C3B" w:rsidP="00F41C3B">
      <w:pPr>
        <w:autoSpaceDE w:val="0"/>
        <w:autoSpaceDN w:val="0"/>
        <w:adjustRightInd w:val="0"/>
        <w:snapToGrid w:val="0"/>
        <w:rPr>
          <w:rFonts w:ascii="Garamond" w:hAnsi="Garamond"/>
        </w:rPr>
      </w:pPr>
      <w:r>
        <w:rPr>
          <w:rFonts w:ascii="Garamond" w:hAnsi="Garamond"/>
        </w:rPr>
        <w:lastRenderedPageBreak/>
        <w:t>21</w:t>
      </w:r>
      <w:r>
        <w:rPr>
          <w:rFonts w:ascii="Garamond" w:hAnsi="Garamond"/>
        </w:rPr>
        <w:tab/>
      </w:r>
      <w:r w:rsidR="003438A6" w:rsidRPr="00F41C3B">
        <w:rPr>
          <w:rFonts w:ascii="Garamond" w:hAnsi="Garamond"/>
        </w:rPr>
        <w:t>At the same time ABAC should carefully monitor any steps which may be taken within the G 20 framework.  A better solution could be supported.  Dangerous proposals should be resisted.</w:t>
      </w:r>
      <w:r w:rsidR="00875252" w:rsidRPr="00F41C3B">
        <w:rPr>
          <w:rFonts w:ascii="Garamond" w:hAnsi="Garamond"/>
        </w:rPr>
        <w:t xml:space="preserve"> </w:t>
      </w:r>
    </w:p>
    <w:p w:rsidR="00FB769C" w:rsidRDefault="00FB769C" w:rsidP="00FB769C">
      <w:pPr>
        <w:pStyle w:val="NormalWeb"/>
        <w:spacing w:before="0" w:beforeAutospacing="0" w:after="0" w:afterAutospacing="0" w:line="216" w:lineRule="atLeast"/>
        <w:ind w:right="240"/>
        <w:rPr>
          <w:rFonts w:ascii="Garamond" w:hAnsi="Garamond"/>
        </w:rPr>
      </w:pPr>
    </w:p>
    <w:p w:rsidR="00F41C3B" w:rsidRDefault="00F41C3B" w:rsidP="00FB769C">
      <w:pPr>
        <w:pStyle w:val="NormalWeb"/>
        <w:spacing w:before="0" w:beforeAutospacing="0" w:after="0" w:afterAutospacing="0" w:line="216" w:lineRule="atLeast"/>
        <w:ind w:right="240"/>
        <w:rPr>
          <w:rFonts w:ascii="Garamond" w:hAnsi="Garamond"/>
        </w:rPr>
      </w:pPr>
    </w:p>
    <w:p w:rsidR="00F41C3B" w:rsidRDefault="00F41C3B" w:rsidP="00FB769C">
      <w:pPr>
        <w:pStyle w:val="NormalWeb"/>
        <w:spacing w:before="0" w:beforeAutospacing="0" w:after="0" w:afterAutospacing="0" w:line="216" w:lineRule="atLeast"/>
        <w:ind w:right="240"/>
        <w:rPr>
          <w:rFonts w:ascii="Garamond" w:hAnsi="Garamond"/>
        </w:rPr>
      </w:pPr>
    </w:p>
    <w:p w:rsidR="00F41C3B" w:rsidRDefault="00F41C3B" w:rsidP="00FB769C">
      <w:pPr>
        <w:pStyle w:val="NormalWeb"/>
        <w:spacing w:before="0" w:beforeAutospacing="0" w:after="0" w:afterAutospacing="0" w:line="216" w:lineRule="atLeast"/>
        <w:ind w:right="240"/>
        <w:rPr>
          <w:rFonts w:ascii="Garamond" w:hAnsi="Garamond"/>
        </w:rPr>
      </w:pPr>
    </w:p>
    <w:p w:rsidR="00F41C3B" w:rsidRPr="00F41C3B" w:rsidRDefault="00F41C3B" w:rsidP="00FB769C">
      <w:pPr>
        <w:pStyle w:val="NormalWeb"/>
        <w:spacing w:before="0" w:beforeAutospacing="0" w:after="0" w:afterAutospacing="0" w:line="216" w:lineRule="atLeast"/>
        <w:ind w:right="240"/>
        <w:rPr>
          <w:rFonts w:ascii="Garamond" w:hAnsi="Garamond"/>
        </w:rPr>
      </w:pPr>
    </w:p>
    <w:p w:rsidR="00E8705E" w:rsidRPr="00F41C3B" w:rsidRDefault="00E8705E" w:rsidP="00E8705E">
      <w:pPr>
        <w:autoSpaceDE w:val="0"/>
        <w:autoSpaceDN w:val="0"/>
        <w:adjustRightInd w:val="0"/>
        <w:ind w:right="2340"/>
        <w:rPr>
          <w:rFonts w:ascii="Garamond" w:hAnsi="Garamond"/>
          <w:b/>
        </w:rPr>
      </w:pPr>
      <w:r w:rsidRPr="00F41C3B">
        <w:rPr>
          <w:rFonts w:ascii="Garamond" w:hAnsi="Garamond"/>
          <w:b/>
        </w:rPr>
        <w:t>Gary Judd</w:t>
      </w:r>
      <w:r w:rsidR="00042A9F" w:rsidRPr="00F41C3B">
        <w:rPr>
          <w:rFonts w:ascii="Garamond" w:hAnsi="Garamond"/>
          <w:b/>
        </w:rPr>
        <w:t xml:space="preserve"> QC</w:t>
      </w:r>
    </w:p>
    <w:p w:rsidR="00F72D89" w:rsidRPr="00F41C3B" w:rsidRDefault="00E8705E" w:rsidP="00E8705E">
      <w:pPr>
        <w:autoSpaceDE w:val="0"/>
        <w:autoSpaceDN w:val="0"/>
        <w:adjustRightInd w:val="0"/>
        <w:ind w:right="2340"/>
        <w:rPr>
          <w:rFonts w:ascii="Garamond" w:hAnsi="Garamond"/>
          <w:b/>
        </w:rPr>
      </w:pPr>
      <w:r w:rsidRPr="00F41C3B">
        <w:rPr>
          <w:rFonts w:ascii="Garamond" w:hAnsi="Garamond"/>
          <w:b/>
        </w:rPr>
        <w:t>ABAC New Zealand</w:t>
      </w:r>
      <w:r w:rsidR="00216E47" w:rsidRPr="00F41C3B">
        <w:rPr>
          <w:rFonts w:ascii="Garamond" w:hAnsi="Garamond"/>
          <w:b/>
        </w:rPr>
        <w:t xml:space="preserve"> </w:t>
      </w:r>
    </w:p>
    <w:p w:rsidR="00E8705E" w:rsidRPr="00F41C3B" w:rsidRDefault="003438A6" w:rsidP="00E8705E">
      <w:pPr>
        <w:autoSpaceDE w:val="0"/>
        <w:autoSpaceDN w:val="0"/>
        <w:adjustRightInd w:val="0"/>
        <w:ind w:right="2340"/>
        <w:rPr>
          <w:rFonts w:ascii="Garamond" w:hAnsi="Garamond"/>
          <w:b/>
        </w:rPr>
      </w:pPr>
      <w:r w:rsidRPr="00F41C3B">
        <w:rPr>
          <w:rFonts w:ascii="Garamond" w:hAnsi="Garamond"/>
          <w:b/>
        </w:rPr>
        <w:t>January</w:t>
      </w:r>
      <w:r w:rsidR="00216E47" w:rsidRPr="00F41C3B">
        <w:rPr>
          <w:rFonts w:ascii="Garamond" w:hAnsi="Garamond"/>
          <w:b/>
        </w:rPr>
        <w:t xml:space="preserve"> </w:t>
      </w:r>
      <w:r w:rsidRPr="00F41C3B">
        <w:rPr>
          <w:rFonts w:ascii="Garamond" w:hAnsi="Garamond"/>
          <w:b/>
        </w:rPr>
        <w:t>29, 2011</w:t>
      </w:r>
    </w:p>
    <w:sectPr w:rsidR="00E8705E" w:rsidRPr="00F41C3B" w:rsidSect="004E4A9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63" w:rsidRDefault="00E05663">
      <w:r>
        <w:separator/>
      </w:r>
    </w:p>
  </w:endnote>
  <w:endnote w:type="continuationSeparator" w:id="0">
    <w:p w:rsidR="00E05663" w:rsidRDefault="00E05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D" w:rsidRDefault="00983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D" w:rsidRDefault="009831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D" w:rsidRDefault="00983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63" w:rsidRDefault="00E05663">
      <w:r>
        <w:separator/>
      </w:r>
    </w:p>
  </w:footnote>
  <w:footnote w:type="continuationSeparator" w:id="0">
    <w:p w:rsidR="00E05663" w:rsidRDefault="00E05663">
      <w:r>
        <w:continuationSeparator/>
      </w:r>
    </w:p>
  </w:footnote>
  <w:footnote w:id="1">
    <w:p w:rsidR="009831BD" w:rsidRPr="00E013CF" w:rsidRDefault="009831BD">
      <w:pPr>
        <w:pStyle w:val="FootnoteText"/>
        <w:rPr>
          <w:lang w:val="en-NZ"/>
        </w:rPr>
      </w:pPr>
      <w:r>
        <w:rPr>
          <w:rStyle w:val="FootnoteReference"/>
        </w:rPr>
        <w:footnoteRef/>
      </w:r>
      <w:r>
        <w:t xml:space="preserve"> </w:t>
      </w:r>
      <w:r>
        <w:rPr>
          <w:rFonts w:ascii="Garamond" w:hAnsi="Garamond" w:cs="Garamond"/>
          <w:color w:val="000000"/>
          <w:sz w:val="18"/>
          <w:lang/>
        </w:rPr>
        <w:t>Document: FEWG 30-017A.</w:t>
      </w:r>
    </w:p>
  </w:footnote>
  <w:footnote w:id="2">
    <w:p w:rsidR="009831BD" w:rsidRPr="00E013CF" w:rsidRDefault="009831BD">
      <w:pPr>
        <w:pStyle w:val="FootnoteText"/>
        <w:rPr>
          <w:lang w:val="en-NZ"/>
        </w:rPr>
      </w:pPr>
      <w:r>
        <w:rPr>
          <w:rStyle w:val="FootnoteReference"/>
        </w:rPr>
        <w:footnoteRef/>
      </w:r>
      <w:r>
        <w:t xml:space="preserve"> </w:t>
      </w:r>
      <w:r>
        <w:rPr>
          <w:lang w:val="en-NZ"/>
        </w:rPr>
        <w:t>Document FEWG 30-041.</w:t>
      </w:r>
    </w:p>
  </w:footnote>
  <w:footnote w:id="3">
    <w:p w:rsidR="009831BD" w:rsidRPr="00F528FD" w:rsidRDefault="009831BD" w:rsidP="006F5F8E">
      <w:pPr>
        <w:pStyle w:val="qf-breadcrumbs"/>
        <w:pBdr>
          <w:bottom w:val="single" w:sz="4" w:space="6" w:color="DED4DA"/>
        </w:pBdr>
        <w:shd w:val="clear" w:color="auto" w:fill="FFFFFF"/>
        <w:spacing w:before="0" w:beforeAutospacing="0" w:after="0" w:afterAutospacing="0"/>
        <w:rPr>
          <w:color w:val="000000"/>
          <w:sz w:val="20"/>
          <w:szCs w:val="20"/>
        </w:rPr>
      </w:pPr>
      <w:r>
        <w:rPr>
          <w:rStyle w:val="FootnoteReference"/>
        </w:rPr>
        <w:footnoteRef/>
      </w:r>
      <w:r>
        <w:t xml:space="preserve"> </w:t>
      </w:r>
      <w:r w:rsidRPr="00F528FD">
        <w:rPr>
          <w:sz w:val="20"/>
          <w:szCs w:val="20"/>
        </w:rPr>
        <w:t xml:space="preserve">QFINANCE Dictionary Finance and Business Dictionary definition of basket of currencies: </w:t>
      </w:r>
      <w:r w:rsidRPr="00F528FD">
        <w:rPr>
          <w:rStyle w:val="librios-ddef"/>
          <w:color w:val="000000"/>
          <w:sz w:val="20"/>
          <w:szCs w:val="20"/>
        </w:rPr>
        <w:t>a group of currencies, each of which is weighted, calculated together as a single unit in establishing a standard of value for another unit of currency.</w:t>
      </w:r>
    </w:p>
    <w:p w:rsidR="009831BD" w:rsidRPr="00F528FD" w:rsidRDefault="009831BD" w:rsidP="006F5F8E">
      <w:pPr>
        <w:pStyle w:val="FootnoteText"/>
        <w:rPr>
          <w:lang w:val="en-NZ"/>
        </w:rPr>
      </w:pPr>
    </w:p>
  </w:footnote>
  <w:footnote w:id="4">
    <w:p w:rsidR="009831BD" w:rsidRPr="00F41C3B" w:rsidRDefault="009831BD">
      <w:pPr>
        <w:pStyle w:val="FootnoteText"/>
        <w:rPr>
          <w:rFonts w:ascii="Garamond" w:hAnsi="Garamond"/>
          <w:lang w:val="en-NZ"/>
        </w:rPr>
      </w:pPr>
      <w:r w:rsidRPr="00F41C3B">
        <w:rPr>
          <w:rStyle w:val="FootnoteReference"/>
          <w:rFonts w:ascii="Garamond" w:hAnsi="Garamond"/>
        </w:rPr>
        <w:footnoteRef/>
      </w:r>
      <w:r w:rsidRPr="00F41C3B">
        <w:rPr>
          <w:rFonts w:ascii="Garamond" w:hAnsi="Garamond"/>
        </w:rPr>
        <w:t xml:space="preserve"> Gemma </w:t>
      </w:r>
      <w:smartTag w:uri="urn:schemas-microsoft-com:office:smarttags" w:element="place">
        <w:smartTag w:uri="urn:schemas-microsoft-com:office:smarttags" w:element="City">
          <w:r w:rsidRPr="00F41C3B">
            <w:rPr>
              <w:rFonts w:ascii="Garamond" w:hAnsi="Garamond"/>
            </w:rPr>
            <w:t>Mabin</w:t>
          </w:r>
        </w:smartTag>
        <w:r w:rsidRPr="00F41C3B">
          <w:rPr>
            <w:rFonts w:ascii="Garamond" w:hAnsi="Garamond"/>
          </w:rPr>
          <w:t xml:space="preserve">, </w:t>
        </w:r>
        <w:smartTag w:uri="urn:schemas-microsoft-com:office:smarttags" w:element="country-region">
          <w:r w:rsidRPr="00F41C3B">
            <w:rPr>
              <w:rFonts w:ascii="Garamond" w:hAnsi="Garamond"/>
            </w:rPr>
            <w:t xml:space="preserve">New </w:t>
          </w:r>
          <w:proofErr w:type="gramStart"/>
          <w:r w:rsidRPr="00F41C3B">
            <w:rPr>
              <w:rFonts w:ascii="Garamond" w:hAnsi="Garamond"/>
            </w:rPr>
            <w:t>Zealand</w:t>
          </w:r>
        </w:smartTag>
      </w:smartTag>
      <w:r w:rsidRPr="00F41C3B">
        <w:rPr>
          <w:rFonts w:ascii="Garamond" w:hAnsi="Garamond"/>
        </w:rPr>
        <w:t xml:space="preserve"> 's</w:t>
      </w:r>
      <w:proofErr w:type="gramEnd"/>
      <w:r w:rsidRPr="00F41C3B">
        <w:rPr>
          <w:rFonts w:ascii="Garamond" w:hAnsi="Garamond"/>
        </w:rPr>
        <w:t xml:space="preserve"> Exchange Rate Cycles: Evidence and Drivers </w:t>
      </w:r>
      <w:hyperlink r:id="rId1" w:tgtFrame="_blank" w:history="1">
        <w:r w:rsidRPr="00F41C3B">
          <w:rPr>
            <w:rStyle w:val="Hyperlink"/>
            <w:rFonts w:ascii="Garamond" w:hAnsi="Garamond" w:cs="Arial"/>
            <w:color w:val="0000CC"/>
            <w:sz w:val="22"/>
            <w:szCs w:val="22"/>
          </w:rPr>
          <w:t>http://www.treasury.govt.nz/publications/research-policy/wp/2010/10-10</w:t>
        </w:r>
      </w:hyperlink>
      <w:r w:rsidRPr="00F41C3B">
        <w:rPr>
          <w:rStyle w:val="apple-style-span"/>
          <w:rFonts w:ascii="Garamond" w:hAnsi="Garamond" w:cs="Arial"/>
          <w:color w:val="000000"/>
          <w:sz w:val="16"/>
          <w:szCs w:val="16"/>
        </w:rPr>
        <w:t>.</w:t>
      </w:r>
    </w:p>
  </w:footnote>
  <w:footnote w:id="5">
    <w:p w:rsidR="009831BD" w:rsidRPr="00F41C3B" w:rsidRDefault="009831BD">
      <w:pPr>
        <w:pStyle w:val="FootnoteText"/>
        <w:rPr>
          <w:rFonts w:ascii="Garamond" w:hAnsi="Garamond"/>
          <w:lang w:val="en-NZ"/>
        </w:rPr>
      </w:pPr>
      <w:r w:rsidRPr="00F41C3B">
        <w:rPr>
          <w:rStyle w:val="FootnoteReference"/>
          <w:rFonts w:ascii="Garamond" w:hAnsi="Garamond"/>
        </w:rPr>
        <w:footnoteRef/>
      </w:r>
      <w:r w:rsidRPr="00F41C3B">
        <w:rPr>
          <w:rFonts w:ascii="Garamond" w:hAnsi="Garamond"/>
        </w:rPr>
        <w:t xml:space="preserve"> </w:t>
      </w:r>
      <w:proofErr w:type="gramStart"/>
      <w:r w:rsidRPr="00F41C3B">
        <w:rPr>
          <w:rFonts w:ascii="Garamond" w:hAnsi="Garamond"/>
          <w:lang w:val="en-NZ"/>
        </w:rPr>
        <w:t xml:space="preserve">Page 11, </w:t>
      </w:r>
      <w:smartTag w:uri="urn:schemas-microsoft-com:office:smarttags" w:element="address">
        <w:smartTag w:uri="urn:schemas-microsoft-com:office:smarttags" w:element="Street">
          <w:r w:rsidRPr="00F41C3B">
            <w:rPr>
              <w:rFonts w:ascii="Garamond" w:hAnsi="Garamond"/>
              <w:lang w:val="en-NZ"/>
            </w:rPr>
            <w:t>Box</w:t>
          </w:r>
        </w:smartTag>
        <w:r w:rsidRPr="00F41C3B">
          <w:rPr>
            <w:rFonts w:ascii="Garamond" w:hAnsi="Garamond"/>
            <w:lang w:val="en-NZ"/>
          </w:rPr>
          <w:t xml:space="preserve"> 2</w:t>
        </w:r>
      </w:smartTag>
      <w:r w:rsidRPr="00F41C3B">
        <w:rPr>
          <w:rFonts w:ascii="Garamond" w:hAnsi="Garamond"/>
          <w:lang w:val="en-NZ"/>
        </w:rPr>
        <w:t>: The importance of the currency of denomination.</w:t>
      </w:r>
      <w:proofErr w:type="gramEnd"/>
    </w:p>
  </w:footnote>
  <w:footnote w:id="6">
    <w:p w:rsidR="009831BD" w:rsidRPr="00920F10" w:rsidRDefault="009831BD">
      <w:pPr>
        <w:pStyle w:val="FootnoteText"/>
        <w:rPr>
          <w:lang w:val="en-NZ"/>
        </w:rPr>
      </w:pPr>
      <w:r>
        <w:rPr>
          <w:rStyle w:val="FootnoteReference"/>
        </w:rPr>
        <w:footnoteRef/>
      </w:r>
      <w:r>
        <w:t xml:space="preserve"> </w:t>
      </w:r>
      <w:proofErr w:type="gramStart"/>
      <w:r>
        <w:rPr>
          <w:lang w:val="en-NZ"/>
        </w:rPr>
        <w:t>Page 18.</w:t>
      </w:r>
      <w:proofErr w:type="gramEnd"/>
    </w:p>
  </w:footnote>
  <w:footnote w:id="7">
    <w:p w:rsidR="009831BD" w:rsidRPr="00920F10" w:rsidRDefault="009831BD">
      <w:pPr>
        <w:pStyle w:val="FootnoteText"/>
        <w:rPr>
          <w:lang w:val="en-NZ"/>
        </w:rPr>
      </w:pPr>
      <w:r>
        <w:rPr>
          <w:rStyle w:val="FootnoteReference"/>
        </w:rPr>
        <w:footnoteRef/>
      </w:r>
      <w:r>
        <w:t xml:space="preserve"> </w:t>
      </w:r>
      <w:proofErr w:type="gramStart"/>
      <w:r>
        <w:rPr>
          <w:lang w:val="en-NZ"/>
        </w:rPr>
        <w:t>Page 28.</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D" w:rsidRDefault="009831BD" w:rsidP="000474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1BD" w:rsidRDefault="009831BD" w:rsidP="004E4A9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D" w:rsidRDefault="009831BD" w:rsidP="000474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9D4">
      <w:rPr>
        <w:rStyle w:val="PageNumber"/>
        <w:noProof/>
      </w:rPr>
      <w:t>5</w:t>
    </w:r>
    <w:r>
      <w:rPr>
        <w:rStyle w:val="PageNumber"/>
      </w:rPr>
      <w:fldChar w:fldCharType="end"/>
    </w:r>
  </w:p>
  <w:p w:rsidR="009831BD" w:rsidRDefault="009831BD" w:rsidP="004E4A9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BD" w:rsidRDefault="00983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342"/>
    <w:multiLevelType w:val="multilevel"/>
    <w:tmpl w:val="9DD4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97156"/>
    <w:multiLevelType w:val="hybridMultilevel"/>
    <w:tmpl w:val="0B46F342"/>
    <w:lvl w:ilvl="0" w:tplc="BE4294B8">
      <w:start w:val="1"/>
      <w:numFmt w:val="decimal"/>
      <w:lvlText w:val="%1."/>
      <w:lvlJc w:val="left"/>
      <w:pPr>
        <w:tabs>
          <w:tab w:val="num" w:pos="720"/>
        </w:tabs>
        <w:ind w:left="720" w:hanging="360"/>
      </w:pPr>
      <w:rPr>
        <w:rFonts w:ascii="Times New Roman" w:hAnsi="Times New Roman" w:cs="Times New Roman" w:hint="default"/>
        <w:b w:val="0"/>
      </w:rPr>
    </w:lvl>
    <w:lvl w:ilvl="1" w:tplc="7F36D4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05522"/>
    <w:multiLevelType w:val="hybridMultilevel"/>
    <w:tmpl w:val="220A5114"/>
    <w:lvl w:ilvl="0" w:tplc="2CEA8BF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133A5"/>
    <w:multiLevelType w:val="hybridMultilevel"/>
    <w:tmpl w:val="BB8EC690"/>
    <w:lvl w:ilvl="0" w:tplc="D5780CA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C275B"/>
    <w:multiLevelType w:val="hybridMultilevel"/>
    <w:tmpl w:val="A48C004A"/>
    <w:lvl w:ilvl="0" w:tplc="0409000F">
      <w:start w:val="1"/>
      <w:numFmt w:val="decimal"/>
      <w:lvlText w:val="%1."/>
      <w:lvlJc w:val="left"/>
      <w:pPr>
        <w:tabs>
          <w:tab w:val="num" w:pos="720"/>
        </w:tabs>
        <w:ind w:left="720" w:hanging="360"/>
      </w:pPr>
    </w:lvl>
    <w:lvl w:ilvl="1" w:tplc="95D8E6B0">
      <w:start w:val="6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F66937"/>
    <w:multiLevelType w:val="hybridMultilevel"/>
    <w:tmpl w:val="17404294"/>
    <w:lvl w:ilvl="0" w:tplc="80C0CDC8">
      <w:start w:val="7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3370622"/>
    <w:multiLevelType w:val="multilevel"/>
    <w:tmpl w:val="0B46F342"/>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3316F09"/>
    <w:multiLevelType w:val="hybridMultilevel"/>
    <w:tmpl w:val="24A2E0DA"/>
    <w:lvl w:ilvl="0" w:tplc="F342E0A8">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E8F99234-3DC6-453B-B631-3B1279903199}"/>
    <w:docVar w:name="dgnword-eventsink" w:val="46870640"/>
  </w:docVars>
  <w:rsids>
    <w:rsidRoot w:val="002970B1"/>
    <w:rsid w:val="0000404B"/>
    <w:rsid w:val="000110D0"/>
    <w:rsid w:val="00022F1D"/>
    <w:rsid w:val="00030610"/>
    <w:rsid w:val="00042A9F"/>
    <w:rsid w:val="00045AC2"/>
    <w:rsid w:val="00047423"/>
    <w:rsid w:val="00050FD9"/>
    <w:rsid w:val="000604B7"/>
    <w:rsid w:val="00061B35"/>
    <w:rsid w:val="00064C1F"/>
    <w:rsid w:val="00073FED"/>
    <w:rsid w:val="00076EE8"/>
    <w:rsid w:val="00084610"/>
    <w:rsid w:val="00085C8B"/>
    <w:rsid w:val="000B49D9"/>
    <w:rsid w:val="000B6777"/>
    <w:rsid w:val="000B6B36"/>
    <w:rsid w:val="000B7398"/>
    <w:rsid w:val="000C03BF"/>
    <w:rsid w:val="000C489A"/>
    <w:rsid w:val="00102271"/>
    <w:rsid w:val="00103CDE"/>
    <w:rsid w:val="00112FA9"/>
    <w:rsid w:val="00113062"/>
    <w:rsid w:val="00114575"/>
    <w:rsid w:val="00137DF2"/>
    <w:rsid w:val="00163936"/>
    <w:rsid w:val="0018055E"/>
    <w:rsid w:val="00181DBA"/>
    <w:rsid w:val="00193EEA"/>
    <w:rsid w:val="001A15D2"/>
    <w:rsid w:val="001A347A"/>
    <w:rsid w:val="001A6651"/>
    <w:rsid w:val="001C45BF"/>
    <w:rsid w:val="001D2AF6"/>
    <w:rsid w:val="001E2A0E"/>
    <w:rsid w:val="001E6ED2"/>
    <w:rsid w:val="002119E3"/>
    <w:rsid w:val="00214009"/>
    <w:rsid w:val="00215538"/>
    <w:rsid w:val="00216E47"/>
    <w:rsid w:val="00227980"/>
    <w:rsid w:val="00260021"/>
    <w:rsid w:val="002612C3"/>
    <w:rsid w:val="00272B02"/>
    <w:rsid w:val="00281EC5"/>
    <w:rsid w:val="00282689"/>
    <w:rsid w:val="002862F2"/>
    <w:rsid w:val="00295D9D"/>
    <w:rsid w:val="002970B1"/>
    <w:rsid w:val="002A2518"/>
    <w:rsid w:val="002A28D0"/>
    <w:rsid w:val="002A2CC8"/>
    <w:rsid w:val="002A3B49"/>
    <w:rsid w:val="002C0BF0"/>
    <w:rsid w:val="002C3CC4"/>
    <w:rsid w:val="002C4447"/>
    <w:rsid w:val="002E457B"/>
    <w:rsid w:val="002F67D9"/>
    <w:rsid w:val="002F7710"/>
    <w:rsid w:val="003164DA"/>
    <w:rsid w:val="003245C7"/>
    <w:rsid w:val="003438A6"/>
    <w:rsid w:val="00350002"/>
    <w:rsid w:val="0037331A"/>
    <w:rsid w:val="00374654"/>
    <w:rsid w:val="0038503F"/>
    <w:rsid w:val="003A7FAE"/>
    <w:rsid w:val="003B4D8D"/>
    <w:rsid w:val="003C19E0"/>
    <w:rsid w:val="003D6D2F"/>
    <w:rsid w:val="003E1765"/>
    <w:rsid w:val="003F5D57"/>
    <w:rsid w:val="00445CDA"/>
    <w:rsid w:val="00453CA5"/>
    <w:rsid w:val="00467900"/>
    <w:rsid w:val="0047391F"/>
    <w:rsid w:val="00483119"/>
    <w:rsid w:val="0049748F"/>
    <w:rsid w:val="004A2A54"/>
    <w:rsid w:val="004B71D3"/>
    <w:rsid w:val="004D42B5"/>
    <w:rsid w:val="004D5276"/>
    <w:rsid w:val="004D7789"/>
    <w:rsid w:val="004E24DA"/>
    <w:rsid w:val="004E4A9D"/>
    <w:rsid w:val="004F2A0D"/>
    <w:rsid w:val="00507A20"/>
    <w:rsid w:val="00531D3D"/>
    <w:rsid w:val="00541692"/>
    <w:rsid w:val="00543031"/>
    <w:rsid w:val="0056145F"/>
    <w:rsid w:val="00566EF9"/>
    <w:rsid w:val="00571AB9"/>
    <w:rsid w:val="00572098"/>
    <w:rsid w:val="00583191"/>
    <w:rsid w:val="005A053C"/>
    <w:rsid w:val="005A2D01"/>
    <w:rsid w:val="005B72E7"/>
    <w:rsid w:val="005D2EC7"/>
    <w:rsid w:val="005D7130"/>
    <w:rsid w:val="005F5717"/>
    <w:rsid w:val="00600E07"/>
    <w:rsid w:val="0061120B"/>
    <w:rsid w:val="00620929"/>
    <w:rsid w:val="00637E65"/>
    <w:rsid w:val="00647D73"/>
    <w:rsid w:val="00651ED8"/>
    <w:rsid w:val="00662EF9"/>
    <w:rsid w:val="006631C3"/>
    <w:rsid w:val="00686D96"/>
    <w:rsid w:val="006878A6"/>
    <w:rsid w:val="006A2362"/>
    <w:rsid w:val="006A7D8D"/>
    <w:rsid w:val="006D08C4"/>
    <w:rsid w:val="006E2E05"/>
    <w:rsid w:val="006E48F2"/>
    <w:rsid w:val="006E6B38"/>
    <w:rsid w:val="006F5F8E"/>
    <w:rsid w:val="00704E7F"/>
    <w:rsid w:val="00705279"/>
    <w:rsid w:val="00712B9D"/>
    <w:rsid w:val="00713FE7"/>
    <w:rsid w:val="00730464"/>
    <w:rsid w:val="00730A8A"/>
    <w:rsid w:val="00732FAE"/>
    <w:rsid w:val="00747F79"/>
    <w:rsid w:val="0075175A"/>
    <w:rsid w:val="007548AE"/>
    <w:rsid w:val="00770861"/>
    <w:rsid w:val="00775B47"/>
    <w:rsid w:val="007761C7"/>
    <w:rsid w:val="007A2F85"/>
    <w:rsid w:val="007B39B4"/>
    <w:rsid w:val="007E61AC"/>
    <w:rsid w:val="007E6EAE"/>
    <w:rsid w:val="007F6646"/>
    <w:rsid w:val="00810837"/>
    <w:rsid w:val="0082442C"/>
    <w:rsid w:val="00826B6F"/>
    <w:rsid w:val="00835331"/>
    <w:rsid w:val="00835A6E"/>
    <w:rsid w:val="0084437F"/>
    <w:rsid w:val="008461FB"/>
    <w:rsid w:val="00875252"/>
    <w:rsid w:val="00876EF8"/>
    <w:rsid w:val="0087795D"/>
    <w:rsid w:val="00887E32"/>
    <w:rsid w:val="00896401"/>
    <w:rsid w:val="008A304D"/>
    <w:rsid w:val="008A3088"/>
    <w:rsid w:val="008A406C"/>
    <w:rsid w:val="008A76FD"/>
    <w:rsid w:val="008B3F0C"/>
    <w:rsid w:val="008B69D4"/>
    <w:rsid w:val="008B778C"/>
    <w:rsid w:val="008B7C59"/>
    <w:rsid w:val="008C02FB"/>
    <w:rsid w:val="008C29A8"/>
    <w:rsid w:val="008C3158"/>
    <w:rsid w:val="008C5929"/>
    <w:rsid w:val="008D4596"/>
    <w:rsid w:val="008D660E"/>
    <w:rsid w:val="008E1CFC"/>
    <w:rsid w:val="008E48A6"/>
    <w:rsid w:val="008F5881"/>
    <w:rsid w:val="00906BBA"/>
    <w:rsid w:val="00910082"/>
    <w:rsid w:val="00920F10"/>
    <w:rsid w:val="00922675"/>
    <w:rsid w:val="00924CF1"/>
    <w:rsid w:val="0094022C"/>
    <w:rsid w:val="00940D8C"/>
    <w:rsid w:val="0094569B"/>
    <w:rsid w:val="009521AC"/>
    <w:rsid w:val="0095262C"/>
    <w:rsid w:val="009774D2"/>
    <w:rsid w:val="00982AC3"/>
    <w:rsid w:val="009831BD"/>
    <w:rsid w:val="009A6A0F"/>
    <w:rsid w:val="009B26D6"/>
    <w:rsid w:val="009B35B9"/>
    <w:rsid w:val="009B4848"/>
    <w:rsid w:val="009C0076"/>
    <w:rsid w:val="009C14D5"/>
    <w:rsid w:val="009D5754"/>
    <w:rsid w:val="009D5EF4"/>
    <w:rsid w:val="009E719E"/>
    <w:rsid w:val="009F125B"/>
    <w:rsid w:val="009F2B15"/>
    <w:rsid w:val="00A134AE"/>
    <w:rsid w:val="00A53B48"/>
    <w:rsid w:val="00A5684C"/>
    <w:rsid w:val="00A72EFF"/>
    <w:rsid w:val="00A86B0D"/>
    <w:rsid w:val="00A914F1"/>
    <w:rsid w:val="00AA2E29"/>
    <w:rsid w:val="00AA3FD2"/>
    <w:rsid w:val="00AB4302"/>
    <w:rsid w:val="00AC6175"/>
    <w:rsid w:val="00AD333C"/>
    <w:rsid w:val="00AD6CFA"/>
    <w:rsid w:val="00AF4BF6"/>
    <w:rsid w:val="00AF7280"/>
    <w:rsid w:val="00B03225"/>
    <w:rsid w:val="00B1231F"/>
    <w:rsid w:val="00B213F6"/>
    <w:rsid w:val="00B324BD"/>
    <w:rsid w:val="00B354C2"/>
    <w:rsid w:val="00B3593F"/>
    <w:rsid w:val="00B47E9C"/>
    <w:rsid w:val="00B5175B"/>
    <w:rsid w:val="00B51B98"/>
    <w:rsid w:val="00B51E13"/>
    <w:rsid w:val="00B61159"/>
    <w:rsid w:val="00B71467"/>
    <w:rsid w:val="00B7590A"/>
    <w:rsid w:val="00B75BCF"/>
    <w:rsid w:val="00BB22F5"/>
    <w:rsid w:val="00BD46CA"/>
    <w:rsid w:val="00C130EC"/>
    <w:rsid w:val="00C4230E"/>
    <w:rsid w:val="00C4240D"/>
    <w:rsid w:val="00C62AEE"/>
    <w:rsid w:val="00C62CC3"/>
    <w:rsid w:val="00C73D08"/>
    <w:rsid w:val="00C746E0"/>
    <w:rsid w:val="00C92304"/>
    <w:rsid w:val="00CA34D1"/>
    <w:rsid w:val="00CB0C07"/>
    <w:rsid w:val="00CB645C"/>
    <w:rsid w:val="00CB6CFD"/>
    <w:rsid w:val="00CB7E11"/>
    <w:rsid w:val="00CC7E33"/>
    <w:rsid w:val="00CD0443"/>
    <w:rsid w:val="00CD09B3"/>
    <w:rsid w:val="00CD6680"/>
    <w:rsid w:val="00CE1555"/>
    <w:rsid w:val="00CE34E1"/>
    <w:rsid w:val="00D05955"/>
    <w:rsid w:val="00D270D1"/>
    <w:rsid w:val="00D30AD2"/>
    <w:rsid w:val="00D52D06"/>
    <w:rsid w:val="00D652F4"/>
    <w:rsid w:val="00D66411"/>
    <w:rsid w:val="00DA5733"/>
    <w:rsid w:val="00DB09C7"/>
    <w:rsid w:val="00DB4CFF"/>
    <w:rsid w:val="00DD5D24"/>
    <w:rsid w:val="00DE1DCE"/>
    <w:rsid w:val="00DE3C1F"/>
    <w:rsid w:val="00DF4907"/>
    <w:rsid w:val="00DF7904"/>
    <w:rsid w:val="00E013CF"/>
    <w:rsid w:val="00E05663"/>
    <w:rsid w:val="00E33E0A"/>
    <w:rsid w:val="00E35F2D"/>
    <w:rsid w:val="00E36234"/>
    <w:rsid w:val="00E40C01"/>
    <w:rsid w:val="00E428FF"/>
    <w:rsid w:val="00E5305A"/>
    <w:rsid w:val="00E64D11"/>
    <w:rsid w:val="00E66D37"/>
    <w:rsid w:val="00E74F0B"/>
    <w:rsid w:val="00E80F49"/>
    <w:rsid w:val="00E85A04"/>
    <w:rsid w:val="00E85ACA"/>
    <w:rsid w:val="00E8705E"/>
    <w:rsid w:val="00E90FDC"/>
    <w:rsid w:val="00E924AB"/>
    <w:rsid w:val="00EB17E0"/>
    <w:rsid w:val="00ED26D0"/>
    <w:rsid w:val="00F004B4"/>
    <w:rsid w:val="00F04DFE"/>
    <w:rsid w:val="00F14796"/>
    <w:rsid w:val="00F16496"/>
    <w:rsid w:val="00F2187B"/>
    <w:rsid w:val="00F2393E"/>
    <w:rsid w:val="00F41C3B"/>
    <w:rsid w:val="00F528FD"/>
    <w:rsid w:val="00F55BD9"/>
    <w:rsid w:val="00F62120"/>
    <w:rsid w:val="00F71816"/>
    <w:rsid w:val="00F72948"/>
    <w:rsid w:val="00F72D89"/>
    <w:rsid w:val="00F769BD"/>
    <w:rsid w:val="00FB769C"/>
    <w:rsid w:val="00FC0865"/>
    <w:rsid w:val="00FC1D23"/>
    <w:rsid w:val="00FC4DDB"/>
    <w:rsid w:val="00FE26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0B1"/>
    <w:rPr>
      <w:sz w:val="24"/>
      <w:szCs w:val="24"/>
    </w:rPr>
  </w:style>
  <w:style w:type="paragraph" w:styleId="Heading1">
    <w:name w:val="heading 1"/>
    <w:basedOn w:val="Normal"/>
    <w:next w:val="Normal"/>
    <w:qFormat/>
    <w:rsid w:val="00F528FD"/>
    <w:pPr>
      <w:keepNext/>
      <w:spacing w:before="240" w:after="60"/>
      <w:outlineLvl w:val="0"/>
    </w:pPr>
    <w:rPr>
      <w:rFonts w:ascii="Arial" w:hAnsi="Arial" w:cs="Arial"/>
      <w:b/>
      <w:bCs/>
      <w:kern w:val="32"/>
      <w:sz w:val="32"/>
      <w:szCs w:val="32"/>
    </w:rPr>
  </w:style>
  <w:style w:type="paragraph" w:styleId="Heading2">
    <w:name w:val="heading 2"/>
    <w:basedOn w:val="Normal"/>
    <w:qFormat/>
    <w:rsid w:val="00647D7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C4230E"/>
    <w:rPr>
      <w:rFonts w:eastAsia="MS Mincho"/>
      <w:sz w:val="20"/>
      <w:szCs w:val="20"/>
    </w:rPr>
  </w:style>
  <w:style w:type="character" w:styleId="FootnoteReference">
    <w:name w:val="footnote reference"/>
    <w:basedOn w:val="DefaultParagraphFont"/>
    <w:semiHidden/>
    <w:rsid w:val="00C4230E"/>
    <w:rPr>
      <w:vertAlign w:val="superscript"/>
    </w:rPr>
  </w:style>
  <w:style w:type="character" w:customStyle="1" w:styleId="FootnoteTextChar">
    <w:name w:val="Footnote Text Char"/>
    <w:basedOn w:val="DefaultParagraphFont"/>
    <w:link w:val="FootnoteText"/>
    <w:rsid w:val="00C4230E"/>
    <w:rPr>
      <w:rFonts w:eastAsia="MS Mincho"/>
      <w:lang w:val="en-US" w:eastAsia="en-US" w:bidi="ar-SA"/>
    </w:rPr>
  </w:style>
  <w:style w:type="paragraph" w:styleId="NormalWeb">
    <w:name w:val="Normal (Web)"/>
    <w:basedOn w:val="Normal"/>
    <w:rsid w:val="009D5754"/>
    <w:pPr>
      <w:spacing w:before="100" w:beforeAutospacing="1" w:after="100" w:afterAutospacing="1"/>
    </w:pPr>
    <w:rPr>
      <w:rFonts w:eastAsia="MS Mincho"/>
    </w:rPr>
  </w:style>
  <w:style w:type="character" w:styleId="Hyperlink">
    <w:name w:val="Hyperlink"/>
    <w:basedOn w:val="DefaultParagraphFont"/>
    <w:rsid w:val="00E924AB"/>
    <w:rPr>
      <w:color w:val="0000FF"/>
      <w:u w:val="single"/>
    </w:rPr>
  </w:style>
  <w:style w:type="character" w:customStyle="1" w:styleId="apple-style-span">
    <w:name w:val="apple-style-span"/>
    <w:basedOn w:val="DefaultParagraphFont"/>
    <w:rsid w:val="00DD5D24"/>
  </w:style>
  <w:style w:type="character" w:customStyle="1" w:styleId="apple-converted-space">
    <w:name w:val="apple-converted-space"/>
    <w:basedOn w:val="DefaultParagraphFont"/>
    <w:rsid w:val="00DD5D24"/>
  </w:style>
  <w:style w:type="paragraph" w:styleId="Header">
    <w:name w:val="header"/>
    <w:basedOn w:val="Normal"/>
    <w:rsid w:val="00216E47"/>
    <w:pPr>
      <w:tabs>
        <w:tab w:val="center" w:pos="4320"/>
        <w:tab w:val="right" w:pos="8640"/>
      </w:tabs>
    </w:pPr>
  </w:style>
  <w:style w:type="paragraph" w:styleId="Footer">
    <w:name w:val="footer"/>
    <w:basedOn w:val="Normal"/>
    <w:rsid w:val="00216E47"/>
    <w:pPr>
      <w:tabs>
        <w:tab w:val="center" w:pos="4320"/>
        <w:tab w:val="right" w:pos="8640"/>
      </w:tabs>
    </w:pPr>
  </w:style>
  <w:style w:type="character" w:styleId="Strong">
    <w:name w:val="Strong"/>
    <w:basedOn w:val="DefaultParagraphFont"/>
    <w:qFormat/>
    <w:rsid w:val="00F528FD"/>
    <w:rPr>
      <w:b/>
      <w:bCs/>
    </w:rPr>
  </w:style>
  <w:style w:type="character" w:styleId="Emphasis">
    <w:name w:val="Emphasis"/>
    <w:basedOn w:val="DefaultParagraphFont"/>
    <w:qFormat/>
    <w:rsid w:val="00F528FD"/>
    <w:rPr>
      <w:i/>
      <w:iCs/>
    </w:rPr>
  </w:style>
  <w:style w:type="character" w:customStyle="1" w:styleId="librios-ddef">
    <w:name w:val="librios-ddef"/>
    <w:basedOn w:val="DefaultParagraphFont"/>
    <w:rsid w:val="00F528FD"/>
  </w:style>
  <w:style w:type="paragraph" w:customStyle="1" w:styleId="qf-breadcrumbs">
    <w:name w:val="qf-breadcrumbs"/>
    <w:basedOn w:val="Normal"/>
    <w:rsid w:val="00F528FD"/>
    <w:pPr>
      <w:spacing w:before="100" w:beforeAutospacing="1" w:after="100" w:afterAutospacing="1"/>
    </w:pPr>
  </w:style>
  <w:style w:type="character" w:styleId="PageNumber">
    <w:name w:val="page number"/>
    <w:basedOn w:val="DefaultParagraphFont"/>
    <w:rsid w:val="004E4A9D"/>
  </w:style>
  <w:style w:type="character" w:styleId="FollowedHyperlink">
    <w:name w:val="FollowedHyperlink"/>
    <w:basedOn w:val="DefaultParagraphFont"/>
    <w:rsid w:val="006E2E05"/>
    <w:rPr>
      <w:color w:val="800080"/>
      <w:u w:val="single"/>
    </w:rPr>
  </w:style>
</w:styles>
</file>

<file path=word/webSettings.xml><?xml version="1.0" encoding="utf-8"?>
<w:webSettings xmlns:r="http://schemas.openxmlformats.org/officeDocument/2006/relationships" xmlns:w="http://schemas.openxmlformats.org/wordprocessingml/2006/main">
  <w:divs>
    <w:div w:id="197133006">
      <w:bodyDiv w:val="1"/>
      <w:marLeft w:val="0"/>
      <w:marRight w:val="0"/>
      <w:marTop w:val="0"/>
      <w:marBottom w:val="0"/>
      <w:divBdr>
        <w:top w:val="none" w:sz="0" w:space="0" w:color="auto"/>
        <w:left w:val="none" w:sz="0" w:space="0" w:color="auto"/>
        <w:bottom w:val="none" w:sz="0" w:space="0" w:color="auto"/>
        <w:right w:val="none" w:sz="0" w:space="0" w:color="auto"/>
      </w:divBdr>
    </w:div>
    <w:div w:id="551894014">
      <w:bodyDiv w:val="1"/>
      <w:marLeft w:val="0"/>
      <w:marRight w:val="0"/>
      <w:marTop w:val="0"/>
      <w:marBottom w:val="0"/>
      <w:divBdr>
        <w:top w:val="none" w:sz="0" w:space="0" w:color="auto"/>
        <w:left w:val="none" w:sz="0" w:space="0" w:color="auto"/>
        <w:bottom w:val="none" w:sz="0" w:space="0" w:color="auto"/>
        <w:right w:val="none" w:sz="0" w:space="0" w:color="auto"/>
      </w:divBdr>
      <w:divsChild>
        <w:div w:id="1150050839">
          <w:marLeft w:val="0"/>
          <w:marRight w:val="0"/>
          <w:marTop w:val="0"/>
          <w:marBottom w:val="0"/>
          <w:divBdr>
            <w:top w:val="none" w:sz="0" w:space="0" w:color="auto"/>
            <w:left w:val="none" w:sz="0" w:space="0" w:color="auto"/>
            <w:bottom w:val="none" w:sz="0" w:space="0" w:color="auto"/>
            <w:right w:val="none" w:sz="0" w:space="0" w:color="auto"/>
          </w:divBdr>
          <w:divsChild>
            <w:div w:id="2012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608">
      <w:bodyDiv w:val="1"/>
      <w:marLeft w:val="0"/>
      <w:marRight w:val="0"/>
      <w:marTop w:val="0"/>
      <w:marBottom w:val="0"/>
      <w:divBdr>
        <w:top w:val="none" w:sz="0" w:space="0" w:color="auto"/>
        <w:left w:val="none" w:sz="0" w:space="0" w:color="auto"/>
        <w:bottom w:val="none" w:sz="0" w:space="0" w:color="auto"/>
        <w:right w:val="none" w:sz="0" w:space="0" w:color="auto"/>
      </w:divBdr>
      <w:divsChild>
        <w:div w:id="639502546">
          <w:marLeft w:val="0"/>
          <w:marRight w:val="0"/>
          <w:marTop w:val="0"/>
          <w:marBottom w:val="0"/>
          <w:divBdr>
            <w:top w:val="none" w:sz="0" w:space="0" w:color="auto"/>
            <w:left w:val="none" w:sz="0" w:space="0" w:color="auto"/>
            <w:bottom w:val="none" w:sz="0" w:space="0" w:color="auto"/>
            <w:right w:val="none" w:sz="0" w:space="0" w:color="auto"/>
          </w:divBdr>
          <w:divsChild>
            <w:div w:id="201090426">
              <w:marLeft w:val="0"/>
              <w:marRight w:val="0"/>
              <w:marTop w:val="0"/>
              <w:marBottom w:val="0"/>
              <w:divBdr>
                <w:top w:val="none" w:sz="0" w:space="0" w:color="auto"/>
                <w:left w:val="none" w:sz="0" w:space="0" w:color="auto"/>
                <w:bottom w:val="none" w:sz="0" w:space="0" w:color="auto"/>
                <w:right w:val="none" w:sz="0" w:space="0" w:color="auto"/>
              </w:divBdr>
              <w:divsChild>
                <w:div w:id="1752972533">
                  <w:marLeft w:val="0"/>
                  <w:marRight w:val="0"/>
                  <w:marTop w:val="0"/>
                  <w:marBottom w:val="0"/>
                  <w:divBdr>
                    <w:top w:val="none" w:sz="0" w:space="0" w:color="auto"/>
                    <w:left w:val="none" w:sz="0" w:space="0" w:color="auto"/>
                    <w:bottom w:val="none" w:sz="0" w:space="0" w:color="auto"/>
                    <w:right w:val="none" w:sz="0" w:space="0" w:color="auto"/>
                  </w:divBdr>
                  <w:divsChild>
                    <w:div w:id="1902058587">
                      <w:marLeft w:val="0"/>
                      <w:marRight w:val="0"/>
                      <w:marTop w:val="0"/>
                      <w:marBottom w:val="0"/>
                      <w:divBdr>
                        <w:top w:val="none" w:sz="0" w:space="0" w:color="auto"/>
                        <w:left w:val="none" w:sz="0" w:space="0" w:color="auto"/>
                        <w:bottom w:val="none" w:sz="0" w:space="0" w:color="auto"/>
                        <w:right w:val="none" w:sz="0" w:space="0" w:color="auto"/>
                      </w:divBdr>
                      <w:divsChild>
                        <w:div w:id="378819102">
                          <w:marLeft w:val="0"/>
                          <w:marRight w:val="0"/>
                          <w:marTop w:val="0"/>
                          <w:marBottom w:val="0"/>
                          <w:divBdr>
                            <w:top w:val="none" w:sz="0" w:space="0" w:color="auto"/>
                            <w:left w:val="none" w:sz="0" w:space="0" w:color="auto"/>
                            <w:bottom w:val="none" w:sz="0" w:space="0" w:color="auto"/>
                            <w:right w:val="none" w:sz="0" w:space="0" w:color="auto"/>
                          </w:divBdr>
                          <w:divsChild>
                            <w:div w:id="466052564">
                              <w:marLeft w:val="0"/>
                              <w:marRight w:val="0"/>
                              <w:marTop w:val="0"/>
                              <w:marBottom w:val="0"/>
                              <w:divBdr>
                                <w:top w:val="none" w:sz="0" w:space="0" w:color="auto"/>
                                <w:left w:val="none" w:sz="0" w:space="0" w:color="auto"/>
                                <w:bottom w:val="none" w:sz="0" w:space="0" w:color="auto"/>
                                <w:right w:val="none" w:sz="0" w:space="0" w:color="auto"/>
                              </w:divBdr>
                              <w:divsChild>
                                <w:div w:id="649334145">
                                  <w:marLeft w:val="0"/>
                                  <w:marRight w:val="0"/>
                                  <w:marTop w:val="0"/>
                                  <w:marBottom w:val="240"/>
                                  <w:divBdr>
                                    <w:top w:val="none" w:sz="0" w:space="0" w:color="auto"/>
                                    <w:left w:val="none" w:sz="0" w:space="0" w:color="auto"/>
                                    <w:bottom w:val="none" w:sz="0" w:space="0" w:color="auto"/>
                                    <w:right w:val="none" w:sz="0" w:space="0" w:color="auto"/>
                                  </w:divBdr>
                                  <w:divsChild>
                                    <w:div w:id="4167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77214">
          <w:marLeft w:val="0"/>
          <w:marRight w:val="0"/>
          <w:marTop w:val="0"/>
          <w:marBottom w:val="0"/>
          <w:divBdr>
            <w:top w:val="none" w:sz="0" w:space="0" w:color="auto"/>
            <w:left w:val="none" w:sz="0" w:space="0" w:color="auto"/>
            <w:bottom w:val="none" w:sz="0" w:space="0" w:color="auto"/>
            <w:right w:val="none" w:sz="0" w:space="0" w:color="auto"/>
          </w:divBdr>
          <w:divsChild>
            <w:div w:id="927078513">
              <w:marLeft w:val="0"/>
              <w:marRight w:val="0"/>
              <w:marTop w:val="0"/>
              <w:marBottom w:val="0"/>
              <w:divBdr>
                <w:top w:val="single" w:sz="4" w:space="4" w:color="682145"/>
                <w:left w:val="none" w:sz="0" w:space="0" w:color="auto"/>
                <w:bottom w:val="none" w:sz="0" w:space="0" w:color="auto"/>
                <w:right w:val="none" w:sz="0" w:space="0" w:color="auto"/>
              </w:divBdr>
              <w:divsChild>
                <w:div w:id="1137406782">
                  <w:marLeft w:val="0"/>
                  <w:marRight w:val="0"/>
                  <w:marTop w:val="0"/>
                  <w:marBottom w:val="0"/>
                  <w:divBdr>
                    <w:top w:val="none" w:sz="0" w:space="0" w:color="auto"/>
                    <w:left w:val="none" w:sz="0" w:space="0" w:color="auto"/>
                    <w:bottom w:val="none" w:sz="0" w:space="0" w:color="auto"/>
                    <w:right w:val="none" w:sz="0" w:space="0" w:color="auto"/>
                  </w:divBdr>
                  <w:divsChild>
                    <w:div w:id="1097947034">
                      <w:marLeft w:val="0"/>
                      <w:marRight w:val="0"/>
                      <w:marTop w:val="0"/>
                      <w:marBottom w:val="0"/>
                      <w:divBdr>
                        <w:top w:val="none" w:sz="0" w:space="0" w:color="auto"/>
                        <w:left w:val="none" w:sz="0" w:space="0" w:color="auto"/>
                        <w:bottom w:val="none" w:sz="0" w:space="0" w:color="auto"/>
                        <w:right w:val="none" w:sz="0" w:space="0" w:color="auto"/>
                      </w:divBdr>
                      <w:divsChild>
                        <w:div w:id="1972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t.nz/publications/research-policy/wp/2010/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 Taipei I made a presentation on exchange rates and capital</vt:lpstr>
    </vt:vector>
  </TitlesOfParts>
  <Company>GJudd</Company>
  <LinksUpToDate>false</LinksUpToDate>
  <CharactersWithSpaces>10459</CharactersWithSpaces>
  <SharedDoc>false</SharedDoc>
  <HLinks>
    <vt:vector size="6" baseType="variant">
      <vt:variant>
        <vt:i4>7864367</vt:i4>
      </vt:variant>
      <vt:variant>
        <vt:i4>0</vt:i4>
      </vt:variant>
      <vt:variant>
        <vt:i4>0</vt:i4>
      </vt:variant>
      <vt:variant>
        <vt:i4>5</vt:i4>
      </vt:variant>
      <vt:variant>
        <vt:lpwstr>http://www.treasury.govt.nz/publications/research-policy/wp/2010/10-10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Taipei I made a presentation on exchange rates and capital</dc:title>
  <dc:creator>GJudd</dc:creator>
  <cp:lastModifiedBy>Margaret</cp:lastModifiedBy>
  <cp:revision>2</cp:revision>
  <dcterms:created xsi:type="dcterms:W3CDTF">2011-05-02T23:00:00Z</dcterms:created>
  <dcterms:modified xsi:type="dcterms:W3CDTF">2011-05-02T23:00:00Z</dcterms:modified>
</cp:coreProperties>
</file>